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bookmarkStart w:id="0" w:name="_GoBack"/>
      <w:bookmarkEnd w:id="0"/>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lineRule="auto" w:line="240"/>
        <w:ind w:hanging="0"/>
        <w:rPr>
          <w:bCs/>
          <w:color w:val="000000"/>
          <w:sz w:val="24"/>
          <w:szCs w:val="24"/>
        </w:rPr>
      </w:pPr>
      <w:r>
        <w:rPr>
          <w:bCs/>
          <w:color w:val="000000"/>
          <w:sz w:val="24"/>
          <w:szCs w:val="24"/>
        </w:rPr>
        <w:t>г. Партизанск</w:t>
        <w:tab/>
        <w:tab/>
        <w:tab/>
        <w:tab/>
        <w:tab/>
        <w:tab/>
        <w:tab/>
        <w:t xml:space="preserve">                        «___» _________ 2026г.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jc w:val="both"/>
        <w:rPr/>
      </w:pPr>
      <w:r>
        <w:rPr>
          <w:b/>
          <w:color w:val="auto"/>
          <w:lang w:val="ru-RU"/>
        </w:rPr>
        <w:t>Акционерное общество «Дальневосточная генерирующая компания»</w:t>
      </w:r>
      <w:r>
        <w:rPr>
          <w:b/>
          <w:color w:val="auto"/>
        </w:rPr>
        <w:t xml:space="preserve"> (</w:t>
      </w:r>
      <w:r>
        <w:rPr>
          <w:b/>
          <w:color w:val="auto"/>
          <w:lang w:val="ru-RU"/>
        </w:rPr>
        <w:t>АО «ДГК»</w:t>
      </w:r>
      <w:r>
        <w:rPr>
          <w:b/>
          <w:color w:val="auto"/>
        </w:rPr>
        <w:t>)</w:t>
      </w:r>
      <w:r>
        <w:rPr>
          <w:color w:val="auto"/>
        </w:rPr>
        <w:t xml:space="preserve"> (далее – «Заказчик»), в лице _______________ действующего на основании ______________, с одной стороны, и </w:t>
      </w:r>
    </w:p>
    <w:p>
      <w:pPr>
        <w:pStyle w:val="BodyText3"/>
        <w:ind w:firstLine="708"/>
        <w:jc w:val="both"/>
        <w:rPr/>
      </w:pPr>
      <w:r>
        <w:rPr>
          <w:b/>
          <w:color w:val="auto"/>
          <w:u w:val="none"/>
          <w:lang w:val="ru-RU"/>
        </w:rPr>
        <w:t xml:space="preserve">Полное наименование контрагента (Сокращенное наименование контрагента) </w:t>
      </w:r>
      <w:r>
        <w:rPr>
          <w:color w:val="auto"/>
        </w:rPr>
        <w:t xml:space="preserve">(далее – «Подрядчик»), в лице ________________, действующего на основании ______________, с другой стороны, </w:t>
      </w:r>
    </w:p>
    <w:p>
      <w:pPr>
        <w:pStyle w:val="BodyText3"/>
        <w:ind w:firstLine="708"/>
        <w:jc w:val="both"/>
        <w:rPr/>
      </w:pPr>
      <w:r>
        <w:rPr>
          <w:color w:val="auto"/>
        </w:rPr>
        <w:t xml:space="preserve">совместно в дальнейшем именуемые «Стороны», а по отдельности – «Сторона», </w:t>
      </w:r>
    </w:p>
    <w:p>
      <w:pPr>
        <w:pStyle w:val="BodyText3"/>
        <w:ind w:firstLine="708"/>
        <w:jc w:val="both"/>
        <w:rPr/>
      </w:pPr>
      <w:r>
        <w:rPr>
          <w:color w:val="auto"/>
          <w:highlight w:val="lightGray"/>
        </w:rPr>
        <w:t>по результатам проведенной Заказчиком конкурентной процедуры по лоту №_______</w:t>
      </w:r>
      <w:r>
        <w:rPr>
          <w:bCs/>
          <w:color w:val="auto"/>
          <w:highlight w:val="lightGray"/>
        </w:rPr>
        <w:t>,</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на основании Протокола №_______ от «___»__________ года</w:t>
      </w:r>
      <w:r>
        <w:rPr>
          <w:bCs/>
          <w:color w:val="auto"/>
          <w:highlight w:val="lightGray"/>
          <w:lang w:val="ru-RU"/>
        </w:rPr>
        <w:t>,</w:t>
      </w:r>
    </w:p>
    <w:p>
      <w:pPr>
        <w:pStyle w:val="BodyText3"/>
        <w:ind w:firstLine="708"/>
        <w:jc w:val="both"/>
        <w:rPr/>
      </w:pPr>
      <w:r>
        <w:rPr>
          <w:color w:val="auto"/>
        </w:rPr>
        <w:t>заключили настоящий договор (далее – «Договор») о нижеследующем:</w:t>
      </w:r>
    </w:p>
    <w:p>
      <w:pPr>
        <w:pStyle w:val="BodyText3"/>
        <w:ind w:firstLine="708"/>
        <w:jc w:val="both"/>
        <w:rPr>
          <w:color w:val="auto"/>
          <w:lang w:val="ru-RU"/>
        </w:rPr>
      </w:pPr>
      <w:r>
        <w:rPr>
          <w:color w:val="auto"/>
          <w:lang w:val="ru-RU"/>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№№КС-2 «Акт о приемке выполненных работ» и КС-3 «Справка о стоимости выполненных работ и затрат», утвержденным постановлением Госкомстата РФ от 11.11.1999 №100.</w:t>
      </w:r>
    </w:p>
    <w:p>
      <w:pPr>
        <w:pStyle w:val="ListParagraph"/>
        <w:ind w:left="0" w:firstLine="708"/>
        <w:jc w:val="both"/>
        <w:rPr>
          <w:lang w:eastAsia="en-US"/>
        </w:rPr>
      </w:pPr>
      <w:r>
        <w:rPr>
          <w:b/>
          <w:lang w:eastAsia="en-US"/>
        </w:rPr>
        <w:t xml:space="preserve">«Акт КС-11» </w:t>
      </w:r>
      <w:r>
        <w:rPr>
          <w:lang w:eastAsia="en-US"/>
        </w:rPr>
        <w:t>– документы, оформляемые по унифицированным формам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№7. </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предусмотренных Договором. 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Работ.</w:t>
      </w:r>
    </w:p>
    <w:p>
      <w:pPr>
        <w:pStyle w:val="ListParagraph"/>
        <w:widowControl w:val="false"/>
        <w:shd w:val="clear" w:color="auto" w:fill="FFFFFF"/>
        <w:tabs>
          <w:tab w:val="clear" w:pos="709"/>
          <w:tab w:val="left" w:pos="567" w:leader="none"/>
          <w:tab w:val="left" w:pos="1134" w:leader="none"/>
        </w:tabs>
        <w:ind w:left="0" w:firstLine="708"/>
        <w:jc w:val="both"/>
        <w:rPr>
          <w:b/>
          <w:lang w:eastAsia="en-US"/>
        </w:rPr>
      </w:pPr>
      <w:r>
        <w:rPr/>
        <w:t>«</w:t>
      </w:r>
      <w:r>
        <w:rPr>
          <w:b/>
        </w:rPr>
        <w:t>Независимая гарантия</w:t>
      </w:r>
      <w:r>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 xml:space="preserve"> </w:t>
      </w: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«Обеспечительный платеж»</w:t>
      </w:r>
      <w:r>
        <w:rPr>
          <w:lang w:eastAsia="en-US"/>
        </w:rPr>
        <w:t xml:space="preserve"> – </w:t>
      </w:r>
      <w:r>
        <w:rPr/>
        <w:t>платеж в размере 5 (пять) процентов от цены Договора,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w:t>
      </w:r>
      <w:r>
        <w:rPr>
          <w:lang w:eastAsia="en-US"/>
        </w:rPr>
        <w:t xml:space="preserve">. </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К приемо-сдаточной документации относятся: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spacing w:before="0" w:after="0"/>
        <w:ind w:firstLine="708"/>
        <w:jc w:val="both"/>
        <w:rPr>
          <w:sz w:val="24"/>
          <w:szCs w:val="24"/>
          <w:lang w:eastAsia="ru-RU"/>
        </w:rPr>
      </w:pPr>
      <w:r>
        <w:rPr>
          <w:sz w:val="24"/>
          <w:szCs w:val="24"/>
          <w:lang w:val="ru-RU" w:eastAsia="en-US"/>
        </w:rPr>
        <w:t>«Работы»</w:t>
      </w:r>
      <w:r>
        <w:rPr>
          <w:b w:val="false"/>
          <w:sz w:val="24"/>
          <w:szCs w:val="24"/>
          <w:lang w:val="ru-RU" w:eastAsia="en-US"/>
        </w:rPr>
        <w:t xml:space="preserve"> – весь комплекс работ по техническому перевооружению, указанный в Техническом требовании (Приложение № 1) и Ведомости объёмов работ</w:t>
      </w:r>
      <w:r>
        <w:rPr>
          <w:b w:val="false"/>
          <w:sz w:val="24"/>
          <w:szCs w:val="24"/>
          <w:lang w:eastAsia="ru-RU"/>
        </w:rPr>
        <w:t>, необходимые для вы</w:t>
      </w:r>
      <w:r>
        <w:rPr>
          <w:rFonts w:eastAsia="Noto Serif CJK SC" w:cs="Arial Unicode MS"/>
          <w:b w:val="false"/>
          <w:color w:val="auto"/>
          <w:kern w:val="0"/>
          <w:sz w:val="24"/>
          <w:szCs w:val="24"/>
          <w:lang w:val="ru-RU" w:eastAsia="en-US" w:bidi="ar-SA"/>
        </w:rPr>
        <w:t xml:space="preserve">полнения Подрядчиком своих обязательств по Договору, независимо от их прямого указания в Договоре. 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Техническом требовании (Приложение № 1 к Договору).</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«Скрытые работы»</w:t>
      </w:r>
      <w:r>
        <w:rPr>
          <w:b w:val="false"/>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lang w:eastAsia="en-US"/>
        </w:rPr>
        <w:t>но в соответствии с технологией их проведени</w:t>
      </w:r>
      <w:r>
        <w:rPr>
          <w:rFonts w:eastAsia="Calibri" w:eastAsiaTheme="minorHAnsi"/>
          <w:b w:val="false"/>
          <w:bCs/>
          <w:sz w:val="24"/>
          <w:szCs w:val="24"/>
          <w:lang w:val="ru-RU" w:eastAsia="en-US"/>
        </w:rPr>
        <w:t>я</w:t>
      </w:r>
      <w:r>
        <w:rPr>
          <w:rFonts w:eastAsia="Calibri" w:eastAsiaTheme="minorHAnsi"/>
          <w:b w:val="false"/>
          <w:bCs/>
          <w:sz w:val="24"/>
          <w:szCs w:val="24"/>
          <w:lang w:eastAsia="en-US"/>
        </w:rPr>
        <w:t xml:space="preserve"> контроль за </w:t>
      </w:r>
      <w:r>
        <w:rPr>
          <w:rFonts w:eastAsia="Calibri" w:eastAsiaTheme="minorHAnsi"/>
          <w:b w:val="false"/>
          <w:bCs/>
          <w:sz w:val="24"/>
          <w:szCs w:val="24"/>
          <w:lang w:val="ru-RU" w:eastAsia="en-US"/>
        </w:rPr>
        <w:t xml:space="preserve">их </w:t>
      </w:r>
      <w:r>
        <w:rPr>
          <w:rFonts w:eastAsia="Calibri" w:eastAsiaTheme="minorHAnsi"/>
          <w:b w:val="false"/>
          <w:bCs/>
          <w:sz w:val="24"/>
          <w:szCs w:val="24"/>
          <w:lang w:eastAsia="en-US"/>
        </w:rPr>
        <w:t xml:space="preserve">осуществлением не может быть проведен </w:t>
      </w:r>
      <w:r>
        <w:rPr>
          <w:rFonts w:eastAsia="Calibri" w:eastAsiaTheme="minorHAnsi"/>
          <w:b w:val="false"/>
          <w:bCs/>
          <w:sz w:val="24"/>
          <w:szCs w:val="24"/>
          <w:lang w:val="ru-RU" w:eastAsia="en-US"/>
        </w:rPr>
        <w:t xml:space="preserve">Заказчиком </w:t>
      </w:r>
      <w:r>
        <w:rPr>
          <w:rFonts w:eastAsia="Calibri" w:eastAsiaTheme="minorHAnsi"/>
          <w:b w:val="false"/>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lang w:val="ru-RU" w:eastAsia="en-US"/>
        </w:rPr>
        <w:t>.</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«Техническое требование»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b w:val="false"/>
          <w:sz w:val="24"/>
          <w:szCs w:val="24"/>
          <w:lang w:val="ru-RU" w:eastAsia="en-US"/>
        </w:rPr>
      </w:r>
    </w:p>
    <w:p>
      <w:pPr>
        <w:pStyle w:val="Normal"/>
        <w:spacing w:lineRule="auto" w:line="240"/>
        <w:rPr>
          <w:sz w:val="24"/>
          <w:szCs w:val="24"/>
        </w:rPr>
      </w:pPr>
      <w:r>
        <w:rPr>
          <w:sz w:val="24"/>
          <w:szCs w:val="24"/>
        </w:rPr>
      </w:r>
    </w:p>
    <w:p>
      <w:pPr>
        <w:pStyle w:val="ListParagraph"/>
        <w:numPr>
          <w:ilvl w:val="0"/>
          <w:numId w:val="3"/>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0"/>
          <w:numId w:val="0"/>
        </w:numPr>
        <w:shd w:val="clear" w:color="auto" w:fill="FFFFFF"/>
        <w:tabs>
          <w:tab w:val="clear" w:pos="709"/>
          <w:tab w:val="left" w:pos="1134" w:leader="none"/>
        </w:tabs>
        <w:ind w:left="0" w:hanging="0"/>
        <w:jc w:val="both"/>
        <w:rPr>
          <w:bCs/>
        </w:rPr>
      </w:pPr>
      <w:r>
        <w:rPr>
          <w:bCs/>
        </w:rPr>
        <w:tab/>
        <w:t xml:space="preserve">1. </w:t>
      </w:r>
      <w:bookmarkStart w:id="1" w:name="_Ref361410951"/>
      <w:r>
        <w:rPr>
          <w:bCs/>
        </w:rPr>
        <w:t xml:space="preserve">Подрядчик обязуется в соответствии с Техническим требованием (Приложение № 1 к Договору) выполнить работы </w:t>
      </w:r>
      <w:r>
        <w:rPr>
          <w:bCs/>
          <w:sz w:val="24"/>
          <w:szCs w:val="24"/>
        </w:rPr>
        <w:t>по техперевооружению комплекса инженерно-технических средств физической защиты Партизанской ГРЭС</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pPr>
        <w:pStyle w:val="ListParagraph"/>
        <w:numPr>
          <w:ilvl w:val="1"/>
          <w:numId w:val="3"/>
        </w:numPr>
        <w:shd w:val="clear" w:color="auto" w:fill="FFFFFF"/>
        <w:tabs>
          <w:tab w:val="clear" w:pos="709"/>
          <w:tab w:val="left" w:pos="1134" w:leader="none"/>
        </w:tabs>
        <w:ind w:left="0" w:firstLine="709"/>
        <w:jc w:val="both"/>
        <w:rPr>
          <w:bCs/>
        </w:rPr>
      </w:pPr>
      <w:r>
        <w:rPr>
          <w:bCs/>
        </w:rPr>
        <w:t>Объем и состав Работ по Договору определяется Ведомостью объемов работ (Приложение 1 к Техническому требованию). Работы по Договору подлежат выполнению Подрядчиком с применением приобретённых МТР и оборудования согласно Ведомости материалов и оборудования Подрядчика (Приложение 2 к Техническому требованию), в строгом соответствии с ведомостью объемов работ, требованиями Применимого права и указаниями Заказчик.</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Работы по Договору выполняются для нужд структурного подразделения Заказчика </w:t>
      </w:r>
      <w:r>
        <w:rPr>
          <w:bCs/>
          <w:highlight w:val="lightGray"/>
        </w:rPr>
        <w:t>Партизанская ГРЭС</w:t>
      </w:r>
      <w:r>
        <w:rPr>
          <w:bCs/>
        </w:rPr>
        <w:t xml:space="preserve">. </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Место выполнения Работ: </w:t>
      </w:r>
      <w:r>
        <w:rPr>
          <w:bCs/>
          <w:highlight w:val="lightGray"/>
        </w:rPr>
        <w:t>Россия, Приморский край, г. Партизанск, ул. Свердлова 2, территория Партизанской ГРЭС.</w:t>
      </w:r>
      <w:r>
        <w:rPr/>
        <w:t>.</w:t>
      </w:r>
    </w:p>
    <w:p>
      <w:pPr>
        <w:pStyle w:val="ListParagraph"/>
        <w:numPr>
          <w:ilvl w:val="1"/>
          <w:numId w:val="3"/>
        </w:numPr>
        <w:shd w:val="clear" w:color="auto" w:fill="FFFFFF"/>
        <w:tabs>
          <w:tab w:val="clear" w:pos="709"/>
          <w:tab w:val="left" w:pos="1134" w:leader="none"/>
        </w:tabs>
        <w:ind w:left="0" w:firstLine="709"/>
        <w:jc w:val="both"/>
        <w:rPr>
          <w:bCs/>
        </w:rPr>
      </w:pPr>
      <w:bookmarkStart w:id="2" w:name="_Ref361320424"/>
      <w:r>
        <w:rPr>
          <w:bCs/>
        </w:rPr>
        <w:t>Работы выполняются Подрядчиком в следующие сроки:</w:t>
      </w:r>
      <w:bookmarkEnd w:id="2"/>
    </w:p>
    <w:p>
      <w:pPr>
        <w:pStyle w:val="ListParagraph"/>
        <w:numPr>
          <w:ilvl w:val="2"/>
          <w:numId w:val="3"/>
        </w:numPr>
        <w:shd w:val="clear" w:color="auto" w:fill="FFFFFF"/>
        <w:tabs>
          <w:tab w:val="clear" w:pos="709"/>
          <w:tab w:val="left" w:pos="1418" w:leader="none"/>
        </w:tabs>
        <w:ind w:left="0" w:firstLine="709"/>
        <w:jc w:val="both"/>
        <w:rPr/>
      </w:pPr>
      <w:r>
        <w:rPr>
          <w:bCs/>
        </w:rPr>
        <w:t xml:space="preserve">начало выполнения Работ: </w:t>
      </w:r>
      <w:r>
        <w:rPr>
          <w:bCs/>
          <w:highlight w:val="lightGray"/>
        </w:rPr>
        <w:t>с даты, следующей за датой заключения договора</w:t>
      </w:r>
      <w:r>
        <w:rPr/>
        <w:t>;</w:t>
      </w:r>
    </w:p>
    <w:p>
      <w:pPr>
        <w:pStyle w:val="ListParagraph"/>
        <w:numPr>
          <w:ilvl w:val="2"/>
          <w:numId w:val="3"/>
        </w:numPr>
        <w:shd w:val="clear" w:color="auto" w:fill="FFFFFF"/>
        <w:tabs>
          <w:tab w:val="clear" w:pos="709"/>
          <w:tab w:val="left" w:pos="1418" w:leader="none"/>
        </w:tabs>
        <w:ind w:left="0" w:firstLine="709"/>
        <w:jc w:val="both"/>
        <w:rPr/>
      </w:pPr>
      <w:r>
        <w:rPr>
          <w:bCs/>
        </w:rPr>
        <w:t>окончание выполнения Работ: в течении 16 месяцев с даты заключения договора</w:t>
      </w:r>
    </w:p>
    <w:p>
      <w:pPr>
        <w:pStyle w:val="ListParagraph"/>
        <w:numPr>
          <w:ilvl w:val="2"/>
          <w:numId w:val="3"/>
        </w:numPr>
        <w:shd w:val="clear" w:color="auto" w:fill="FFFFFF"/>
        <w:tabs>
          <w:tab w:val="clear" w:pos="709"/>
          <w:tab w:val="left" w:pos="1418" w:leader="none"/>
        </w:tabs>
        <w:ind w:left="0" w:firstLine="709"/>
        <w:jc w:val="both"/>
        <w:rPr/>
      </w:pPr>
      <w:r>
        <w:rPr>
          <w:bCs/>
        </w:rPr>
        <w:t xml:space="preserve">Работы выполняются согласно Графику выполнения и финансирования работ (Приложение № 2 к Договору) в рамках общих сроков, указанных в пункте 1.4.1 и 1.4.2 Договора. </w:t>
      </w:r>
    </w:p>
    <w:p>
      <w:pPr>
        <w:pStyle w:val="ListParagraph"/>
        <w:numPr>
          <w:ilvl w:val="0"/>
          <w:numId w:val="0"/>
        </w:numPr>
        <w:shd w:val="clear" w:color="auto" w:fill="FFFFFF"/>
        <w:tabs>
          <w:tab w:val="clear" w:pos="709"/>
          <w:tab w:val="left" w:pos="1418" w:leader="none"/>
        </w:tabs>
        <w:ind w:left="0" w:hanging="0"/>
        <w:jc w:val="both"/>
        <w:rPr/>
      </w:pPr>
      <w:r>
        <w:rPr/>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3"/>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9"/>
          <w:tab w:val="left" w:pos="1418" w:leader="none"/>
        </w:tabs>
        <w:ind w:left="0" w:firstLine="709"/>
        <w:jc w:val="both"/>
        <w:rPr/>
      </w:pPr>
      <w:bookmarkStart w:id="3" w:name="_Ref361396847"/>
      <w:bookmarkStart w:id="4" w:name="_Ref361320734"/>
      <w:bookmarkStart w:id="5" w:name="_Ref361401696"/>
      <w:bookmarkEnd w:id="3"/>
      <w:bookmarkEnd w:id="4"/>
      <w:bookmarkEnd w:id="5"/>
      <w:r>
        <w:rPr>
          <w:bCs/>
        </w:rPr>
        <w:t xml:space="preserve">В течение </w:t>
      </w:r>
      <w:r>
        <w:rPr>
          <w:bCs/>
          <w:highlight w:val="lightGray"/>
        </w:rPr>
        <w:t>3 (трех)</w:t>
      </w:r>
      <w:r>
        <w:rPr>
          <w:bCs/>
        </w:rPr>
        <w:t xml:space="preserve"> рабочих дней с даты получения соответствующего письменного запроса Подрядчика, передать (предоставить) последнему:</w:t>
      </w:r>
    </w:p>
    <w:p>
      <w:pPr>
        <w:pStyle w:val="ListParagraph"/>
        <w:numPr>
          <w:ilvl w:val="0"/>
          <w:numId w:val="7"/>
        </w:numPr>
        <w:shd w:val="clear" w:color="auto" w:fill="FFFFFF"/>
        <w:tabs>
          <w:tab w:val="left" w:pos="709" w:leader="none"/>
          <w:tab w:val="left" w:pos="1418" w:leader="none"/>
        </w:tabs>
        <w:ind w:left="0" w:firstLine="709"/>
        <w:jc w:val="both"/>
        <w:rPr/>
      </w:pPr>
      <w:r>
        <w:rPr/>
        <w:t>место производства Работ, по соответствующим актам сдачи-приемки (приложение № 4.1 к Договору);</w:t>
      </w:r>
    </w:p>
    <w:p>
      <w:pPr>
        <w:pStyle w:val="ListParagraph"/>
        <w:numPr>
          <w:ilvl w:val="0"/>
          <w:numId w:val="7"/>
        </w:numPr>
        <w:shd w:val="clear" w:color="auto" w:fill="FFFFFF"/>
        <w:tabs>
          <w:tab w:val="left" w:pos="709" w:leader="none"/>
          <w:tab w:val="left" w:pos="1418" w:leader="none"/>
        </w:tabs>
        <w:ind w:left="0" w:firstLine="709"/>
        <w:jc w:val="both"/>
        <w:rPr/>
      </w:pPr>
      <w:r>
        <w:rPr>
          <w:bCs/>
        </w:rPr>
        <w:t>техническую и иную документацию, указанную в Техническом требовании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p>
      <w:pPr>
        <w:pStyle w:val="PlainText"/>
        <w:numPr>
          <w:ilvl w:val="2"/>
          <w:numId w:val="3"/>
        </w:numPr>
        <w:ind w:left="0" w:firstLine="709"/>
        <w:jc w:val="both"/>
        <w:rPr>
          <w:rFonts w:ascii="Times New Roman" w:hAnsi="Times New Roman" w:cs="Times New Roman"/>
          <w:sz w:val="24"/>
          <w:szCs w:val="24"/>
          <w:highlight w:val="white"/>
        </w:rPr>
      </w:pPr>
      <w:bookmarkStart w:id="6" w:name="_Ref361396847_Копия_1"/>
      <w:bookmarkStart w:id="7" w:name="_Ref361320734_Копия_1"/>
      <w:bookmarkStart w:id="8" w:name="_Ref361401696_Копия_1"/>
      <w:bookmarkEnd w:id="6"/>
      <w:bookmarkEnd w:id="7"/>
      <w:bookmarkEnd w:id="8"/>
      <w:r>
        <w:rPr>
          <w:rFonts w:cs="Times New Roman" w:ascii="Times New Roman" w:hAnsi="Times New Roman"/>
          <w:sz w:val="24"/>
          <w:szCs w:val="24"/>
          <w:highlight w:val="white"/>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предоставить помещения для размещения персонала, складские и / или иные помещения.</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3"/>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3"/>
        </w:numPr>
        <w:shd w:val="clear" w:color="auto" w:fill="FFFFFF"/>
        <w:tabs>
          <w:tab w:val="clear" w:pos="709"/>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требования,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3"/>
        </w:numPr>
        <w:shd w:val="clear" w:color="auto" w:fill="FFFFFF"/>
        <w:tabs>
          <w:tab w:val="clear" w:pos="709"/>
          <w:tab w:val="left" w:pos="1418" w:leader="none"/>
        </w:tabs>
        <w:ind w:left="0" w:firstLine="709"/>
        <w:jc w:val="both"/>
        <w:rPr>
          <w:bCs/>
        </w:rPr>
      </w:pPr>
      <w:bookmarkStart w:id="10"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3"/>
        </w:numPr>
        <w:shd w:val="clear" w:color="auto" w:fill="FFFFFF"/>
        <w:tabs>
          <w:tab w:val="clear" w:pos="709"/>
          <w:tab w:val="left" w:pos="1418" w:leader="none"/>
        </w:tabs>
        <w:ind w:left="0" w:firstLine="709"/>
        <w:jc w:val="both"/>
        <w:rPr>
          <w:bCs/>
        </w:rPr>
      </w:pPr>
      <w:bookmarkStart w:id="11" w:name="_Ref361319348"/>
      <w:r>
        <w:rPr>
          <w:bCs/>
        </w:rPr>
        <w:t>Вносить изменения в Техническое требование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3"/>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3"/>
        </w:numPr>
        <w:shd w:val="clear" w:color="auto" w:fill="FFFFFF"/>
        <w:tabs>
          <w:tab w:val="clear" w:pos="709"/>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Подрядчик обязан</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7"/>
        </w:numPr>
        <w:shd w:val="clear" w:color="auto" w:fill="FFFFFF"/>
        <w:tabs>
          <w:tab w:val="clear" w:pos="709"/>
          <w:tab w:val="left" w:pos="1418" w:leader="none"/>
        </w:tabs>
        <w:ind w:left="0" w:firstLine="709"/>
        <w:jc w:val="both"/>
        <w:rPr>
          <w:bCs/>
        </w:rPr>
      </w:pPr>
      <w:r>
        <w:rPr>
          <w:bCs/>
        </w:rPr>
        <w:t>место производства Работ,</w:t>
      </w:r>
      <w:r>
        <w:rPr>
          <w:bCs/>
          <w:color w:val="FF0000"/>
        </w:rPr>
        <w:t xml:space="preserve"> </w:t>
      </w:r>
      <w:r>
        <w:rPr>
          <w:bCs/>
        </w:rPr>
        <w:t>по соответствующим актам сдачи-приемки (приложение № 4.1 к Договору);</w:t>
      </w:r>
    </w:p>
    <w:p>
      <w:pPr>
        <w:pStyle w:val="ListParagraph"/>
        <w:numPr>
          <w:ilvl w:val="0"/>
          <w:numId w:val="17"/>
        </w:numPr>
        <w:shd w:val="clear" w:color="auto" w:fill="FFFFFF"/>
        <w:tabs>
          <w:tab w:val="clear" w:pos="709"/>
          <w:tab w:val="left" w:pos="1418" w:leader="none"/>
        </w:tabs>
        <w:ind w:left="0" w:firstLine="709"/>
        <w:jc w:val="both"/>
        <w:rPr/>
      </w:pPr>
      <w:r>
        <w:rPr>
          <w:bCs/>
        </w:rPr>
        <w:t>техническую и иную документацию, указанную в Техническом требовании (Приложение № 1 к Договору) по Акту сдачи-приемки технической и иной документации (приложение № 4.2 к Договору).</w:t>
      </w:r>
    </w:p>
    <w:p>
      <w:pPr>
        <w:pStyle w:val="ListParagraph"/>
        <w:numPr>
          <w:ilvl w:val="2"/>
          <w:numId w:val="3"/>
        </w:numPr>
        <w:shd w:val="clear" w:color="auto" w:fill="FFFFFF"/>
        <w:tabs>
          <w:tab w:val="clear" w:pos="709"/>
          <w:tab w:val="left" w:pos="1418" w:leader="none"/>
        </w:tabs>
        <w:ind w:left="0" w:firstLine="709"/>
        <w:jc w:val="both"/>
        <w:rPr>
          <w:bCs/>
        </w:rPr>
      </w:pPr>
      <w:r>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pPr>
        <w:pStyle w:val="ListParagraph"/>
        <w:shd w:val="clear" w:color="auto" w:fill="FFFFFF"/>
        <w:tabs>
          <w:tab w:val="clear" w:pos="709"/>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3"/>
        </w:numPr>
        <w:shd w:val="clear" w:color="auto" w:fill="FFFFFF"/>
        <w:tabs>
          <w:tab w:val="clear" w:pos="709"/>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w:t>
      </w:r>
      <w:r>
        <w:rPr>
          <w:bCs/>
          <w:highlight w:val="lightGray"/>
        </w:rPr>
        <w:t xml:space="preserve"> (пяти)</w:t>
      </w:r>
      <w:r>
        <w:rPr>
          <w:bCs/>
        </w:rPr>
        <w:t xml:space="preserve">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3"/>
        </w:numPr>
        <w:shd w:val="clear" w:color="auto" w:fill="FFFFFF"/>
        <w:tabs>
          <w:tab w:val="clear" w:pos="709"/>
          <w:tab w:val="left" w:pos="1418" w:leader="none"/>
        </w:tabs>
        <w:ind w:left="0" w:firstLine="709"/>
        <w:jc w:val="both"/>
        <w:rPr>
          <w:bCs/>
        </w:rPr>
      </w:pPr>
      <w:r>
        <w:rPr>
          <w:bCs/>
        </w:rPr>
        <w:t>До  начала выполнения Работ предоставить Заказчику:</w:t>
      </w:r>
    </w:p>
    <w:p>
      <w:pPr>
        <w:pStyle w:val="ListParagraph"/>
        <w:numPr>
          <w:ilvl w:val="0"/>
          <w:numId w:val="13"/>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3"/>
        </w:numPr>
        <w:shd w:val="clear" w:color="auto" w:fill="FFFFFF"/>
        <w:tabs>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3"/>
        </w:numPr>
        <w:shd w:val="clear" w:color="auto" w:fill="FFFFFF"/>
        <w:tabs>
          <w:tab w:val="left" w:pos="709" w:leader="none"/>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4.1 к Договору) в соответствии с пунктами 2.1.2 и 2.1.3 Договора.</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указанных в пункте 2.2.3 и разделе 16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9"/>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№5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актам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9"/>
          <w:tab w:val="left" w:pos="1418" w:leader="none"/>
        </w:tabs>
        <w:ind w:left="0" w:firstLine="709"/>
        <w:jc w:val="both"/>
        <w:rPr/>
      </w:pPr>
      <w:r>
        <w:rPr/>
        <w:t>Обеспечить:</w:t>
      </w:r>
    </w:p>
    <w:p>
      <w:pPr>
        <w:pStyle w:val="ListParagraph"/>
        <w:numPr>
          <w:ilvl w:val="0"/>
          <w:numId w:val="14"/>
        </w:numPr>
        <w:shd w:val="clear" w:color="auto" w:fill="FFFFFF"/>
        <w:tabs>
          <w:tab w:val="clear" w:pos="709"/>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4"/>
        </w:numPr>
        <w:tabs>
          <w:tab w:val="clear" w:pos="709"/>
          <w:tab w:val="left" w:pos="567" w:leader="none"/>
        </w:tabs>
        <w:ind w:left="0" w:firstLine="709"/>
        <w:jc w:val="both"/>
        <w:rPr>
          <w:bCs/>
        </w:rPr>
      </w:pPr>
      <w:r>
        <w:rPr>
          <w:bCs/>
          <w:highlight w:val="lightGray"/>
        </w:rPr>
        <w:t>наличие документов, подтверждающих исполнение требований ч.1 ст.10 федерального закона от 21.07.2011 №256-ФЗ «О безопасности объектов ТЭК» (копии данных документов предоставляются представителю Заказчику, в противном случае указанные лица до работ на территории ТЭК не допускаются)</w:t>
      </w:r>
      <w:r>
        <w:rPr>
          <w:bCs/>
        </w:rPr>
        <w:t>.</w:t>
      </w:r>
    </w:p>
    <w:p>
      <w:pPr>
        <w:pStyle w:val="ListParagraph"/>
        <w:numPr>
          <w:ilvl w:val="2"/>
          <w:numId w:val="3"/>
        </w:numPr>
        <w:shd w:val="clear" w:color="auto" w:fill="FFFFFF"/>
        <w:tabs>
          <w:tab w:val="clear" w:pos="709"/>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3"/>
        </w:numPr>
        <w:shd w:val="clear" w:color="auto" w:fill="FFFFFF"/>
        <w:tabs>
          <w:tab w:val="clear" w:pos="709"/>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9"/>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9"/>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3"/>
        </w:numPr>
        <w:shd w:val="clear" w:color="auto" w:fill="FFFFFF"/>
        <w:tabs>
          <w:tab w:val="clear" w:pos="709"/>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3"/>
        </w:numPr>
        <w:shd w:val="clear" w:color="auto" w:fill="FFFFFF"/>
        <w:tabs>
          <w:tab w:val="clear" w:pos="709"/>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9"/>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9"/>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9"/>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9"/>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5"/>
        </w:numPr>
        <w:ind w:left="0" w:right="23" w:firstLine="709"/>
        <w:jc w:val="both"/>
        <w:rPr/>
      </w:pPr>
      <w:r>
        <w:rPr/>
        <w:t>аварии – в течение 2 (двух) часов;</w:t>
      </w:r>
    </w:p>
    <w:p>
      <w:pPr>
        <w:pStyle w:val="ListParagraph"/>
        <w:numPr>
          <w:ilvl w:val="0"/>
          <w:numId w:val="15"/>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5"/>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5"/>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5"/>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5"/>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9"/>
          <w:tab w:val="left" w:pos="1418" w:leader="none"/>
        </w:tabs>
        <w:ind w:left="0" w:firstLine="709"/>
        <w:jc w:val="both"/>
        <w:rPr/>
      </w:pPr>
      <w:r>
        <w:rPr/>
        <w:t>Нести риск случайной гибели и случайного повреждения мест (помещений), материалов,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pPr>
        <w:pStyle w:val="ListParagraph"/>
        <w:numPr>
          <w:ilvl w:val="2"/>
          <w:numId w:val="3"/>
        </w:numPr>
        <w:shd w:val="clear" w:color="auto" w:fill="FFFFFF"/>
        <w:tabs>
          <w:tab w:val="clear" w:pos="709"/>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9"/>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9"/>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3"/>
        </w:numPr>
        <w:shd w:val="clear" w:color="auto" w:fill="FFFFFF"/>
        <w:tabs>
          <w:tab w:val="clear" w:pos="709"/>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страхования. </w:t>
      </w:r>
    </w:p>
    <w:p>
      <w:pPr>
        <w:pStyle w:val="ListParagraph"/>
        <w:numPr>
          <w:ilvl w:val="2"/>
          <w:numId w:val="3"/>
        </w:numPr>
        <w:shd w:val="clear" w:color="auto" w:fill="FFFFFF"/>
        <w:tabs>
          <w:tab w:val="clear" w:pos="709"/>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3"/>
        </w:numPr>
        <w:ind w:left="0" w:firstLine="709"/>
        <w:jc w:val="both"/>
        <w:rPr>
          <w:color w:val="000000"/>
        </w:rPr>
      </w:pPr>
      <w:r>
        <w:rPr/>
        <w:t>Предоставить Заказчику Независимую гарантию в соответствии с разделом 6 Договора</w:t>
      </w:r>
      <w:r>
        <w:rPr>
          <w:color w:val="000000"/>
        </w:rPr>
        <w:t>.</w:t>
      </w:r>
    </w:p>
    <w:p>
      <w:pPr>
        <w:pStyle w:val="ListParagraph"/>
        <w:numPr>
          <w:ilvl w:val="2"/>
          <w:numId w:val="3"/>
        </w:numPr>
        <w:ind w:left="0" w:firstLine="709"/>
        <w:jc w:val="both"/>
        <w:rPr>
          <w:color w:val="000000"/>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3"/>
        </w:numPr>
        <w:shd w:val="clear" w:color="auto" w:fill="FFFFFF"/>
        <w:tabs>
          <w:tab w:val="clear" w:pos="709"/>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3"/>
        </w:numPr>
        <w:tabs>
          <w:tab w:val="clear" w:pos="709"/>
          <w:tab w:val="left" w:pos="1418" w:leader="none"/>
        </w:tabs>
        <w:ind w:left="0" w:firstLine="709"/>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__</w:t>
      </w:r>
      <w:r>
        <w:rPr>
          <w:bCs/>
          <w:highlight w:val="lightGray"/>
        </w:rPr>
        <w:t xml:space="preserve"> (____) процентов</w:t>
      </w:r>
      <w:r>
        <w:rPr>
          <w:bCs/>
        </w:rPr>
        <w:t xml:space="preserve">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9"/>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8"/>
        </w:numPr>
        <w:shd w:val="clear" w:color="auto" w:fill="FFFFFF"/>
        <w:tabs>
          <w:tab w:val="left" w:pos="709" w:leader="none"/>
        </w:tabs>
        <w:ind w:left="0" w:firstLine="709"/>
        <w:jc w:val="both"/>
        <w:rPr>
          <w:bCs/>
        </w:rPr>
      </w:pPr>
      <w:r>
        <w:rPr>
          <w:bCs/>
        </w:rPr>
        <w:t xml:space="preserve">проект договора с Субподрядчиком; </w:t>
      </w:r>
    </w:p>
    <w:p>
      <w:pPr>
        <w:pStyle w:val="ListParagraph"/>
        <w:numPr>
          <w:ilvl w:val="0"/>
          <w:numId w:val="18"/>
        </w:numPr>
        <w:shd w:val="clear" w:color="auto" w:fill="FFFFFF"/>
        <w:tabs>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8"/>
        </w:numPr>
        <w:shd w:val="clear" w:color="auto" w:fill="FFFFFF"/>
        <w:tabs>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18"/>
        </w:numPr>
        <w:shd w:val="clear" w:color="auto" w:fill="FFFFFF"/>
        <w:tabs>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9"/>
          <w:tab w:val="left" w:pos="1276" w:leader="none"/>
          <w:tab w:val="left" w:pos="1418" w:leader="none"/>
        </w:tabs>
        <w:ind w:left="0" w:firstLine="567"/>
        <w:jc w:val="both"/>
        <w:rPr>
          <w:b/>
          <w:bCs/>
          <w:highlight w:val="yellow"/>
        </w:rPr>
      </w:pPr>
      <w:r>
        <w:rPr>
          <w:b/>
          <w:bCs/>
          <w:highlight w:val="yellow"/>
        </w:rPr>
      </w:r>
    </w:p>
    <w:p>
      <w:pPr>
        <w:pStyle w:val="ListParagraph"/>
        <w:shd w:val="clear" w:color="auto" w:fill="FFFFFF"/>
        <w:tabs>
          <w:tab w:val="clear" w:pos="709"/>
          <w:tab w:val="left" w:pos="1418" w:leader="none"/>
        </w:tabs>
        <w:ind w:left="0" w:firstLine="709"/>
        <w:jc w:val="both"/>
        <w:rPr/>
      </w:pPr>
      <w:r>
        <w:rPr/>
      </w:r>
    </w:p>
    <w:p>
      <w:pPr>
        <w:pStyle w:val="ListParagraph"/>
        <w:numPr>
          <w:ilvl w:val="0"/>
          <w:numId w:val="3"/>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1"/>
          <w:numId w:val="3"/>
        </w:numPr>
        <w:shd w:val="clear" w:color="auto" w:fill="FFFFFF"/>
        <w:tabs>
          <w:tab w:val="clear" w:pos="709"/>
          <w:tab w:val="left" w:pos="1134" w:leader="none"/>
        </w:tabs>
        <w:ind w:left="0" w:firstLine="709"/>
        <w:jc w:val="both"/>
        <w:rPr>
          <w:bCs/>
        </w:rPr>
      </w:pPr>
      <w:bookmarkStart w:id="12" w:name="_Ref361335465"/>
      <w:bookmarkEnd w:id="12"/>
      <w:r>
        <w:rPr>
          <w:bCs/>
        </w:rPr>
        <w:t xml:space="preserve">Цена </w:t>
      </w:r>
      <w:r>
        <w:rPr/>
        <w:t xml:space="preserve">Договора </w:t>
      </w:r>
      <w:r>
        <w:rPr>
          <w:bCs/>
        </w:rPr>
        <w:t xml:space="preserve">в соответствии со Сводным сметным расчетом (Приложение № 3 к Договору) является </w:t>
      </w:r>
      <w:r>
        <w:rPr>
          <w:bCs/>
        </w:rPr>
        <w:t>предельной</w:t>
      </w:r>
      <w:r>
        <w:rPr>
          <w:bCs/>
        </w:rPr>
        <w:t xml:space="preserve">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в том числе НДС __________________(_________) ____ копеек.  </w:t>
      </w:r>
    </w:p>
    <w:p>
      <w:pPr>
        <w:pStyle w:val="ListParagraph"/>
        <w:numPr>
          <w:ilvl w:val="2"/>
          <w:numId w:val="3"/>
        </w:numPr>
        <w:shd w:val="clear" w:color="auto" w:fill="FFFFFF"/>
        <w:tabs>
          <w:tab w:val="clear" w:pos="709"/>
          <w:tab w:val="left" w:pos="1418" w:leader="none"/>
        </w:tabs>
        <w:ind w:left="0" w:firstLine="709"/>
        <w:jc w:val="both"/>
        <w:rPr/>
      </w:pPr>
      <w:r>
        <w:rPr>
          <w:rFonts w:eastAsia="Noto Serif CJK SC" w:cs="Arial Unicode MS"/>
          <w:bCs/>
          <w:color w:val="auto"/>
          <w:kern w:val="0"/>
          <w:sz w:val="24"/>
          <w:szCs w:val="24"/>
          <w:lang w:val="ru-RU" w:eastAsia="ru-RU" w:bidi="ar-SA"/>
        </w:rPr>
        <w:t>Твердая цена Работ (без учета Лимита на непредвиденные работы и затраты)  работы составляет ______ (__________________) рублей ___ копеек в том числе НДС __________________(_________) ____ копеек;</w:t>
      </w:r>
    </w:p>
    <w:p>
      <w:pPr>
        <w:pStyle w:val="ListParagraph"/>
        <w:shd w:val="clear" w:color="auto" w:fill="FFFFFF"/>
        <w:tabs>
          <w:tab w:val="clear" w:pos="709"/>
          <w:tab w:val="left" w:pos="1418" w:leader="none"/>
        </w:tabs>
        <w:ind w:left="0" w:firstLine="709"/>
        <w:jc w:val="both"/>
        <w:rPr/>
      </w:pPr>
      <w:r>
        <w:rPr>
          <w:highlight w:val="lightGray"/>
        </w:rPr>
        <w:t xml:space="preserve">3.1.2. Лимит на непредвиденные работы и затраты составляет ______ </w:t>
      </w:r>
      <w:r>
        <w:rPr>
          <w:bCs/>
          <w:highlight w:val="lightGray"/>
        </w:rPr>
        <w:t>(___________________)</w:t>
      </w:r>
      <w:r>
        <w:rPr>
          <w:highlight w:val="lightGray"/>
        </w:rPr>
        <w:t xml:space="preserve"> рублей ___ копеек </w:t>
      </w:r>
      <w:r>
        <w:rPr>
          <w:bCs/>
        </w:rPr>
        <w:t>в том числе НДС __________________(_________) ____ копеек.</w:t>
      </w:r>
    </w:p>
    <w:p>
      <w:pPr>
        <w:pStyle w:val="ListParagraph"/>
        <w:numPr>
          <w:ilvl w:val="1"/>
          <w:numId w:val="3"/>
        </w:numPr>
        <w:shd w:val="clear" w:color="auto" w:fill="FFFFFF"/>
        <w:tabs>
          <w:tab w:val="clear" w:pos="709"/>
          <w:tab w:val="left" w:pos="1134" w:leader="none"/>
        </w:tabs>
        <w:ind w:left="0" w:firstLine="709"/>
        <w:jc w:val="both"/>
        <w:rPr>
          <w:bCs/>
        </w:rPr>
      </w:pPr>
      <w:r>
        <w:rPr>
          <w:bCs/>
          <w:highlight w:val="lightGray"/>
        </w:rPr>
        <w:t xml:space="preserve"> </w:t>
      </w:r>
      <w:r>
        <w:rPr>
          <w:bCs/>
          <w:highlight w:val="lightGray"/>
        </w:rPr>
        <w:t>Локальные сметные расчеты являются неотъемлемой частью Сводного сметного расчета (Приложение № 3 к Договору).</w:t>
      </w:r>
    </w:p>
    <w:p>
      <w:pPr>
        <w:pStyle w:val="ListParagraph"/>
        <w:numPr>
          <w:ilvl w:val="1"/>
          <w:numId w:val="3"/>
        </w:numPr>
        <w:shd w:val="clear" w:color="auto" w:fill="FFFFFF"/>
        <w:tabs>
          <w:tab w:val="clear" w:pos="709"/>
          <w:tab w:val="left" w:pos="1134" w:leader="none"/>
        </w:tabs>
        <w:ind w:left="0" w:firstLine="709"/>
        <w:jc w:val="both"/>
        <w:rPr>
          <w:bCs/>
        </w:rPr>
      </w:pPr>
      <w:bookmarkStart w:id="13" w:name="_Ref361834605"/>
      <w:bookmarkStart w:id="14" w:name="_Ref361335465_Копия_1"/>
      <w:bookmarkEnd w:id="13"/>
      <w:bookmarkEnd w:id="14"/>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9"/>
          <w:tab w:val="left" w:pos="1418" w:leader="none"/>
        </w:tabs>
        <w:ind w:left="0" w:firstLine="709"/>
        <w:jc w:val="both"/>
        <w:rPr/>
      </w:pPr>
      <w:r>
        <w:rPr/>
        <w:t>Строительно-монтажные работы и пуско-наладочные работы;</w:t>
      </w:r>
    </w:p>
    <w:p>
      <w:pPr>
        <w:pStyle w:val="ListParagraph"/>
        <w:numPr>
          <w:ilvl w:val="2"/>
          <w:numId w:val="3"/>
        </w:numPr>
        <w:shd w:val="clear" w:color="auto" w:fill="FFFFFF"/>
        <w:tabs>
          <w:tab w:val="clear" w:pos="709"/>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3"/>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3"/>
        </w:numPr>
        <w:shd w:val="clear" w:color="auto" w:fill="FFFFFF"/>
        <w:tabs>
          <w:tab w:val="clear" w:pos="709"/>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3"/>
        </w:numPr>
        <w:shd w:val="clear" w:color="auto" w:fill="FFFFFF"/>
        <w:tabs>
          <w:tab w:val="clear" w:pos="709"/>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shd w:val="clear" w:color="auto" w:fill="FFFFFF"/>
        <w:tabs>
          <w:tab w:val="clear" w:pos="709"/>
          <w:tab w:val="left" w:pos="1134" w:leader="none"/>
        </w:tabs>
        <w:ind w:left="0" w:firstLine="709"/>
        <w:jc w:val="both"/>
        <w:rPr>
          <w:bCs/>
        </w:rPr>
      </w:pPr>
      <w:r>
        <w:rPr>
          <w:bCs/>
        </w:rPr>
        <w:t>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3"/>
        </w:numPr>
        <w:shd w:val="clear" w:color="auto" w:fill="FFFFFF"/>
        <w:tabs>
          <w:tab w:val="clear" w:pos="709"/>
          <w:tab w:val="left" w:pos="1134" w:leader="none"/>
        </w:tabs>
        <w:ind w:left="0" w:firstLine="709"/>
        <w:jc w:val="both"/>
        <w:rPr>
          <w:bCs/>
        </w:rPr>
      </w:pPr>
      <w:bookmarkStart w:id="15" w:name="_Ref361858588"/>
      <w:bookmarkStart w:id="16" w:name="_Ref361834675"/>
      <w:r>
        <w:rPr>
          <w:bCs/>
        </w:rPr>
        <w:t>Оплата по Договору осуществляется Заказчиком в следующем порядке:</w:t>
      </w:r>
      <w:bookmarkEnd w:id="15"/>
      <w:bookmarkEnd w:id="16"/>
      <w:r>
        <w:rPr>
          <w:bCs/>
        </w:rPr>
        <w:t xml:space="preserve"> </w:t>
      </w:r>
    </w:p>
    <w:p>
      <w:pPr>
        <w:pStyle w:val="ListParagraph"/>
        <w:numPr>
          <w:ilvl w:val="2"/>
          <w:numId w:val="3"/>
        </w:numPr>
        <w:shd w:val="clear" w:color="auto" w:fill="FFFFFF"/>
        <w:tabs>
          <w:tab w:val="clear" w:pos="709"/>
          <w:tab w:val="left" w:pos="1418" w:leader="none"/>
        </w:tabs>
        <w:ind w:left="0" w:firstLine="709"/>
        <w:jc w:val="both"/>
        <w:rPr/>
      </w:pPr>
      <w:r>
        <w:rPr/>
        <w:t>Расчет по договору производится Заказчиком в течение 7 (семи) рабочих дней с даты подписания документов,</w:t>
      </w:r>
      <w:bookmarkStart w:id="17" w:name="_Ref361335023"/>
      <w:bookmarkStart w:id="18" w:name="_Ref361834178"/>
      <w:r>
        <w:rPr/>
        <w:t xml:space="preserve"> указанных в пункте 4.1, 4.2  Договора, на основании счёта, выставленного Подрядчиком, и с учетом пунктов 3.5.2, 3.5.3 Договора. </w:t>
      </w:r>
    </w:p>
    <w:p>
      <w:pPr>
        <w:pStyle w:val="ListParagraph"/>
        <w:numPr>
          <w:ilvl w:val="2"/>
          <w:numId w:val="3"/>
        </w:numPr>
        <w:shd w:val="clear" w:color="auto" w:fill="FFFFFF"/>
        <w:tabs>
          <w:tab w:val="clear" w:pos="709"/>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3"/>
        </w:numPr>
        <w:shd w:val="clear" w:color="auto" w:fill="FFFFFF"/>
        <w:tabs>
          <w:tab w:val="clear" w:pos="709"/>
          <w:tab w:val="left" w:pos="1418" w:leader="none"/>
        </w:tabs>
        <w:ind w:left="0" w:firstLine="709"/>
        <w:jc w:val="both"/>
        <w:rPr/>
      </w:pPr>
      <w:r>
        <w:rPr/>
        <w:t>Подрядчик предоставляет Заказчику Независимую гарантию надлежащего исполнения обязательств по Договору в размере 5 (Пять) процентов от Цены Договора не позднее, чем за 3 (три) рабочих дня до предполагаемой даты выплаты платежа по Договору. В случае невыполнения данного обязательства и при отсутствии соглашения Сторон об ином Заказчик вправе удерживать 5 % (пять процентов) от цены платежа, причитающегося Подрядчику, в порядке, размерах и сроки, установленные пунктом 3.5.1 Договора в качестве гарантийного резервирования. При этом в счете на оплату, выставленных Подрядчиком, должна быть отдельно выделена сумма Обеспечительного платежа.</w:t>
      </w:r>
    </w:p>
    <w:p>
      <w:pPr>
        <w:pStyle w:val="ListParagraph"/>
        <w:shd w:val="clear" w:color="auto" w:fill="FFFFFF"/>
        <w:tabs>
          <w:tab w:val="clear" w:pos="709"/>
          <w:tab w:val="left" w:pos="1418" w:leader="none"/>
        </w:tabs>
        <w:ind w:left="0" w:firstLine="709"/>
        <w:jc w:val="both"/>
        <w:rPr/>
      </w:pPr>
      <w: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pPr>
        <w:pStyle w:val="ListParagraph"/>
        <w:shd w:val="clear" w:color="auto" w:fill="FFFFFF"/>
        <w:tabs>
          <w:tab w:val="clear" w:pos="709"/>
          <w:tab w:val="left" w:pos="1418" w:leader="none"/>
        </w:tabs>
        <w:ind w:left="0" w:firstLine="709"/>
        <w:jc w:val="both"/>
        <w:rPr/>
      </w:pPr>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8"/>
    </w:p>
    <w:p>
      <w:pPr>
        <w:pStyle w:val="ListParagraph"/>
        <w:numPr>
          <w:ilvl w:val="1"/>
          <w:numId w:val="3"/>
        </w:numPr>
        <w:shd w:val="clear" w:color="auto" w:fill="FFFFFF"/>
        <w:tabs>
          <w:tab w:val="clear" w:pos="709"/>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shd w:val="clear" w:color="auto" w:fill="FFFFFF"/>
        <w:tabs>
          <w:tab w:val="clear" w:pos="709"/>
          <w:tab w:val="left" w:pos="1134" w:leader="none"/>
        </w:tabs>
        <w:ind w:left="0" w:firstLine="709"/>
        <w:jc w:val="both"/>
        <w:rPr>
          <w:bCs/>
        </w:rPr>
      </w:pPr>
      <w:r>
        <w:rPr>
          <w:highlight w:val="lightGray"/>
        </w:rPr>
        <w:t>Оплата затрат на непредвиденных работ и затрат</w:t>
      </w:r>
      <w:r>
        <w:rPr>
          <w:rStyle w:val="FootnoteReference"/>
          <w:highlight w:val="lightGray"/>
        </w:rPr>
        <w:footnoteReference w:id="2"/>
      </w:r>
      <w:r>
        <w:rPr>
          <w:highlight w:val="lightGray"/>
        </w:rPr>
        <w:t xml:space="preserve"> осуществляется Заказчиком в следующем порядке</w:t>
      </w:r>
      <w:r>
        <w:rPr>
          <w:bCs/>
        </w:rPr>
        <w:t>:</w:t>
      </w:r>
    </w:p>
    <w:p>
      <w:pPr>
        <w:pStyle w:val="ListParagraph"/>
        <w:shd w:val="clear" w:color="auto" w:fill="FFFFFF"/>
        <w:tabs>
          <w:tab w:val="clear" w:pos="709"/>
          <w:tab w:val="left" w:pos="1418" w:leader="none"/>
        </w:tabs>
        <w:ind w:left="0" w:firstLine="709"/>
        <w:jc w:val="both"/>
        <w:rPr>
          <w:highlight w:val="none"/>
          <w:shd w:fill="auto" w:val="clear"/>
        </w:rPr>
      </w:pPr>
      <w:r>
        <w:rPr>
          <w:shd w:fill="auto" w:val="clear"/>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5.1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4.5. Договора. Стоимость непредвиденных работ и затрат включается в общую сумму Акта КС-2, подписываемого Сторонами в соответствии с пунктом 5.1 Договора.</w:t>
      </w:r>
    </w:p>
    <w:p>
      <w:pPr>
        <w:pStyle w:val="ListParagraph"/>
        <w:numPr>
          <w:ilvl w:val="1"/>
          <w:numId w:val="3"/>
        </w:numPr>
        <w:shd w:val="clear" w:color="auto" w:fill="FFFFFF"/>
        <w:tabs>
          <w:tab w:val="clear" w:pos="709"/>
          <w:tab w:val="left" w:pos="1134" w:leader="none"/>
        </w:tabs>
        <w:ind w:left="0" w:firstLine="709"/>
        <w:jc w:val="both"/>
        <w:rPr/>
      </w:pPr>
      <w:r>
        <w:rPr>
          <w:highlight w:val="lightGray"/>
        </w:rPr>
        <w:t xml:space="preserve">Командировочные расходы включаются в стоимость Работ в соответствии с расчетом, прилагаемым к Сводному сметному расчету  </w:t>
      </w:r>
      <w:r>
        <w:rPr>
          <w:bCs/>
          <w:highlight w:val="lightGray"/>
        </w:rPr>
        <w:t>с приложениями</w:t>
      </w:r>
      <w:r>
        <w:rPr>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t>.</w:t>
      </w:r>
    </w:p>
    <w:p>
      <w:pPr>
        <w:pStyle w:val="ListParagraph"/>
        <w:numPr>
          <w:ilvl w:val="1"/>
          <w:numId w:val="3"/>
        </w:numPr>
        <w:shd w:val="clear" w:color="auto" w:fill="FFFFFF"/>
        <w:tabs>
          <w:tab w:val="clear" w:pos="709"/>
          <w:tab w:val="left" w:pos="1134" w:leader="none"/>
        </w:tabs>
        <w:ind w:left="0" w:firstLine="709"/>
        <w:jc w:val="both"/>
        <w:rPr>
          <w:bCs/>
        </w:rPr>
      </w:pPr>
      <w:bookmarkEnd w:id="17"/>
      <w:r>
        <w:rPr>
          <w:bCs/>
        </w:rPr>
        <w:t>Индексация Цены Договора не допускается.</w:t>
      </w:r>
    </w:p>
    <w:p>
      <w:pPr>
        <w:pStyle w:val="ListParagraph"/>
        <w:numPr>
          <w:ilvl w:val="1"/>
          <w:numId w:val="3"/>
        </w:numPr>
        <w:shd w:val="clear" w:color="auto" w:fill="FFFFFF"/>
        <w:tabs>
          <w:tab w:val="clear" w:pos="709"/>
          <w:tab w:val="left" w:pos="1134" w:leader="none"/>
        </w:tabs>
        <w:ind w:left="0" w:firstLine="709"/>
        <w:jc w:val="both"/>
        <w:rPr>
          <w:bCs/>
        </w:rPr>
      </w:pPr>
      <w:bookmarkStart w:id="19" w:name="_Ref361834251"/>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 отработанного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bookmarkEnd w:id="19"/>
    </w:p>
    <w:p>
      <w:pPr>
        <w:pStyle w:val="ListParagraph"/>
        <w:shd w:val="clear" w:color="auto" w:fill="FFFFFF"/>
        <w:tabs>
          <w:tab w:val="clear" w:pos="709"/>
          <w:tab w:val="left" w:pos="1134" w:leader="none"/>
        </w:tabs>
        <w:ind w:left="0" w:firstLine="709"/>
        <w:jc w:val="both"/>
        <w:rPr/>
      </w:pPr>
      <w:r>
        <w:rPr>
          <w:bCs/>
        </w:rPr>
        <w:t>Заказчик направляет Подрядчику уведомление о проведении сальдо взаимных обязательств Сторон по Договору</w:t>
      </w:r>
      <w:r>
        <w:rPr/>
        <w:t>.</w:t>
      </w:r>
    </w:p>
    <w:p>
      <w:pPr>
        <w:pStyle w:val="ListParagraph"/>
        <w:shd w:val="clear" w:color="auto" w:fill="FFFFFF"/>
        <w:tabs>
          <w:tab w:val="clear" w:pos="709"/>
          <w:tab w:val="left" w:pos="1134" w:leader="none"/>
        </w:tabs>
        <w:ind w:left="0" w:firstLine="567"/>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3"/>
        </w:numPr>
        <w:shd w:val="clear" w:color="auto" w:fill="FFFFFF"/>
        <w:tabs>
          <w:tab w:val="left" w:pos="709" w:leader="none"/>
          <w:tab w:val="left" w:pos="1134" w:leader="none"/>
        </w:tabs>
        <w:ind w:left="0" w:firstLine="709"/>
        <w:jc w:val="both"/>
        <w:rPr/>
      </w:pPr>
      <w:r>
        <w:rPr>
          <w:bCs/>
        </w:rPr>
        <w:t>П</w:t>
      </w:r>
      <w:bookmarkStart w:id="20" w:name="_Ref361336754"/>
      <w:bookmarkStart w:id="21" w:name="_Ref361335138"/>
      <w:bookmarkStart w:id="22" w:name="_Ref373242517"/>
      <w:r>
        <w:rPr>
          <w:bCs/>
        </w:rPr>
        <w:t xml:space="preserve">о завершении выполнения работ указанного в Календарном графике выполнения Работ (Приложение № 2 к Договору),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t xml:space="preserve"> </w:t>
      </w:r>
      <w:r>
        <w:rPr>
          <w:bCs/>
        </w:rPr>
        <w:t xml:space="preserve">с приложением Приемо-сдаточной и Исполнительной документации </w:t>
      </w:r>
      <w:r>
        <w:rPr/>
        <w:t xml:space="preserve">в </w:t>
      </w:r>
      <w:r>
        <w:rPr>
          <w:highlight w:val="lightGray"/>
        </w:rPr>
        <w:t>3 (трех)</w:t>
      </w:r>
      <w:r>
        <w:rPr/>
        <w:t xml:space="preserve"> экземплярах.</w:t>
      </w:r>
      <w:bookmarkEnd w:id="20"/>
      <w:bookmarkEnd w:id="21"/>
      <w:bookmarkEnd w:id="22"/>
    </w:p>
    <w:p>
      <w:pPr>
        <w:pStyle w:val="ListParagraph"/>
        <w:numPr>
          <w:ilvl w:val="1"/>
          <w:numId w:val="3"/>
        </w:numPr>
        <w:shd w:val="clear" w:color="auto" w:fill="FFFFFF"/>
        <w:tabs>
          <w:tab w:val="clear" w:pos="709"/>
          <w:tab w:val="left" w:pos="1134" w:leader="none"/>
        </w:tabs>
        <w:ind w:left="0" w:firstLine="709"/>
        <w:jc w:val="both"/>
        <w:rPr/>
      </w:pPr>
      <w:bookmarkStart w:id="23" w:name="_Ref361336865"/>
      <w:bookmarkEnd w:id="23"/>
      <w:r>
        <w:rPr>
          <w:bCs/>
        </w:rPr>
        <w:t>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shd w:val="clear" w:color="auto" w:fill="FFFFFF"/>
        <w:tabs>
          <w:tab w:val="clear" w:pos="709"/>
          <w:tab w:val="left" w:pos="1418" w:leader="none"/>
        </w:tabs>
        <w:ind w:left="0" w:firstLine="709"/>
        <w:jc w:val="both"/>
        <w:rPr/>
      </w:pPr>
      <w:r>
        <w:rPr/>
        <w:t>Акт КС-2, Справку КС-3 в отношении Объекта</w:t>
      </w:r>
      <w:r>
        <w:rPr>
          <w:bCs/>
        </w:rPr>
        <w:t xml:space="preserve"> н</w:t>
      </w:r>
      <w:r>
        <w:rPr/>
        <w:t xml:space="preserve">а весь объем выполненных работ по Объекту в 2 (двух) экземплярах, а также электронные версии Акта </w:t>
        <w:br/>
        <w:t xml:space="preserve">КС-2 и Справки КС-3 в формате *gsfx ПК «ГРАНД Сметы» на цифровом носителе; </w:t>
      </w:r>
    </w:p>
    <w:p>
      <w:pPr>
        <w:pStyle w:val="ListParagraph"/>
        <w:numPr>
          <w:ilvl w:val="0"/>
          <w:numId w:val="16"/>
        </w:numPr>
        <w:shd w:val="clear" w:color="auto" w:fill="FFFFFF"/>
        <w:tabs>
          <w:tab w:val="clear" w:pos="709"/>
          <w:tab w:val="left" w:pos="1418" w:leader="none"/>
        </w:tabs>
        <w:ind w:left="0" w:firstLine="709"/>
        <w:jc w:val="both"/>
        <w:rPr/>
      </w:pPr>
      <w:r>
        <w:rPr>
          <w:bCs/>
        </w:rPr>
        <w:t>А</w:t>
      </w:r>
      <w:r>
        <w:rPr/>
        <w:t>кт КС-11 в 2 (двух) экземплярах.</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shd w:val="clear" w:color="auto" w:fill="FFFFFF"/>
        <w:tabs>
          <w:tab w:val="clear" w:pos="709"/>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4.1-4.3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3"/>
        </w:numPr>
        <w:shd w:val="clear" w:color="auto" w:fill="FFFFFF"/>
        <w:tabs>
          <w:tab w:val="clear" w:pos="709"/>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9"/>
          <w:tab w:val="left" w:pos="1134" w:leader="none"/>
        </w:tabs>
        <w:ind w:left="0" w:firstLine="709"/>
        <w:jc w:val="both"/>
        <w:rPr>
          <w:bCs/>
        </w:rPr>
      </w:pPr>
      <w:bookmarkStart w:id="24"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4"/>
    </w:p>
    <w:p>
      <w:pPr>
        <w:pStyle w:val="ListParagraph"/>
        <w:numPr>
          <w:ilvl w:val="0"/>
          <w:numId w:val="0"/>
        </w:numPr>
        <w:shd w:val="clear" w:color="auto" w:fill="FFFFFF"/>
        <w:tabs>
          <w:tab w:val="clear" w:pos="709"/>
          <w:tab w:val="left" w:pos="1134" w:leader="none"/>
        </w:tabs>
        <w:ind w:left="0" w:hanging="0"/>
        <w:jc w:val="both"/>
        <w:rPr>
          <w:bCs/>
        </w:rPr>
      </w:pPr>
      <w:r>
        <w:rPr>
          <w:bCs/>
        </w:rPr>
      </w:r>
    </w:p>
    <w:p>
      <w:pPr>
        <w:pStyle w:val="ListParagraph"/>
        <w:shd w:val="clear" w:color="auto" w:fill="FFFFFF"/>
        <w:tabs>
          <w:tab w:val="clear" w:pos="709"/>
          <w:tab w:val="left" w:pos="1134" w:leader="none"/>
        </w:tabs>
        <w:ind w:left="567" w:hanging="0"/>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3"/>
        </w:numPr>
        <w:shd w:val="clear" w:color="auto" w:fill="FFFFFF"/>
        <w:tabs>
          <w:tab w:val="clear" w:pos="709"/>
          <w:tab w:val="left" w:pos="1134" w:leader="none"/>
        </w:tabs>
        <w:ind w:left="0" w:firstLine="709"/>
        <w:jc w:val="both"/>
        <w:rPr>
          <w:bCs/>
        </w:rPr>
      </w:pPr>
      <w:bookmarkStart w:id="25" w:name="_Ref361405028"/>
      <w:r>
        <w:rPr>
          <w:bCs/>
        </w:rPr>
        <w:t xml:space="preserve">Риск случайной гибели или повреждения Результата Работ в отношении Объекта, включая Материально-технические ресурсы и оборудование,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5"/>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Право собственности на Результат Работ в отношении Объекта возникает у Заказчика с момента подписания Сторонами Акта КС-11. </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3"/>
        </w:numPr>
        <w:shd w:val="clear" w:color="auto" w:fill="FFFFFF"/>
        <w:tabs>
          <w:tab w:val="clear" w:pos="709"/>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Работ, не освобождает Подрядчика от ответственности за Результат Работ по Договору в целом.</w:t>
      </w:r>
    </w:p>
    <w:p>
      <w:pPr>
        <w:pStyle w:val="ListParagraph"/>
        <w:numPr>
          <w:ilvl w:val="0"/>
          <w:numId w:val="0"/>
        </w:numPr>
        <w:shd w:val="clear" w:color="auto" w:fill="FFFFFF"/>
        <w:tabs>
          <w:tab w:val="clear" w:pos="709"/>
          <w:tab w:val="left" w:pos="1134" w:leader="none"/>
        </w:tabs>
        <w:ind w:left="0" w:hanging="0"/>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Независимая гарантия</w:t>
      </w:r>
    </w:p>
    <w:p>
      <w:pPr>
        <w:pStyle w:val="ListParagraph"/>
        <w:numPr>
          <w:ilvl w:val="1"/>
          <w:numId w:val="3"/>
        </w:numPr>
        <w:tabs>
          <w:tab w:val="clear" w:pos="709"/>
          <w:tab w:val="left" w:pos="1134" w:leader="none"/>
        </w:tabs>
        <w:ind w:left="0" w:firstLine="709"/>
        <w:jc w:val="both"/>
        <w:rPr/>
      </w:pPr>
      <w:r>
        <w:rPr>
          <w:bCs/>
        </w:rPr>
        <w:t>Независимая гарантия, должна соответствовать следующим требованиям</w:t>
      </w:r>
      <w:r>
        <w:rPr/>
        <w:t>:</w:t>
      </w:r>
    </w:p>
    <w:p>
      <w:pPr>
        <w:pStyle w:val="ListParagraph"/>
        <w:numPr>
          <w:ilvl w:val="0"/>
          <w:numId w:val="20"/>
        </w:numPr>
        <w:tabs>
          <w:tab w:val="clear" w:pos="709"/>
          <w:tab w:val="left" w:pos="1134" w:leader="none"/>
        </w:tabs>
        <w:ind w:left="0" w:firstLine="709"/>
        <w:jc w:val="both"/>
        <w:rPr>
          <w:bCs/>
        </w:rPr>
      </w:pPr>
      <w:r>
        <w:rPr>
          <w:bCs/>
        </w:rPr>
        <w:t>Независимая гарантия не может быть отозвана выдавшим ее гарантом;</w:t>
      </w:r>
    </w:p>
    <w:p>
      <w:pPr>
        <w:pStyle w:val="ListParagraph"/>
        <w:numPr>
          <w:ilvl w:val="0"/>
          <w:numId w:val="20"/>
        </w:numPr>
        <w:tabs>
          <w:tab w:val="clear" w:pos="709"/>
          <w:tab w:val="left" w:pos="1134" w:leader="none"/>
        </w:tabs>
        <w:ind w:left="0" w:firstLine="709"/>
        <w:jc w:val="both"/>
        <w:rPr>
          <w:bCs/>
        </w:rPr>
      </w:pPr>
      <w:r>
        <w:rPr>
          <w:bCs/>
        </w:rPr>
        <w:t>бенефициар по Независимой гарантии – Заказчик, принципал – Подрядчик;</w:t>
      </w:r>
    </w:p>
    <w:p>
      <w:pPr>
        <w:pStyle w:val="ListParagraph"/>
        <w:numPr>
          <w:ilvl w:val="0"/>
          <w:numId w:val="20"/>
        </w:numPr>
        <w:tabs>
          <w:tab w:val="clear" w:pos="709"/>
          <w:tab w:val="left" w:pos="1134" w:leader="none"/>
        </w:tabs>
        <w:ind w:left="0" w:firstLine="709"/>
        <w:jc w:val="both"/>
        <w:rPr>
          <w:bCs/>
        </w:rPr>
      </w:pPr>
      <w:r>
        <w:rPr>
          <w:bCs/>
        </w:rPr>
        <w:t>сумма Независимой гарантии должна быть выражена в валюте расчетов по Договору;</w:t>
      </w:r>
    </w:p>
    <w:p>
      <w:pPr>
        <w:pStyle w:val="ListParagraph"/>
        <w:numPr>
          <w:ilvl w:val="0"/>
          <w:numId w:val="20"/>
        </w:numPr>
        <w:tabs>
          <w:tab w:val="clear" w:pos="709"/>
          <w:tab w:val="left" w:pos="1134" w:leader="none"/>
        </w:tabs>
        <w:ind w:left="0" w:firstLine="709"/>
        <w:jc w:val="both"/>
        <w:rPr>
          <w:bCs/>
        </w:rPr>
      </w:pPr>
      <w:r>
        <w:rPr>
          <w:bCs/>
        </w:rPr>
        <w:t>сумма Независимой гарантии должна составлять:</w:t>
      </w:r>
    </w:p>
    <w:p>
      <w:pPr>
        <w:pStyle w:val="ListParagraph"/>
        <w:numPr>
          <w:ilvl w:val="0"/>
          <w:numId w:val="20"/>
        </w:numPr>
        <w:tabs>
          <w:tab w:val="clear" w:pos="709"/>
          <w:tab w:val="left" w:pos="1134" w:leader="none"/>
        </w:tabs>
        <w:ind w:left="0" w:firstLine="709"/>
        <w:jc w:val="both"/>
        <w:rPr>
          <w:bCs/>
        </w:rPr>
      </w:pPr>
      <w:r>
        <w:rPr>
          <w:bCs/>
        </w:rPr>
        <w:t>в размере 5 (Пять) процентов от Цены Договора (в случае если Договором не предусмотрена выплата аванса).</w:t>
      </w:r>
    </w:p>
    <w:p>
      <w:pPr>
        <w:pStyle w:val="ListParagraph"/>
        <w:numPr>
          <w:ilvl w:val="0"/>
          <w:numId w:val="20"/>
        </w:numPr>
        <w:tabs>
          <w:tab w:val="clear" w:pos="709"/>
          <w:tab w:val="left" w:pos="1134" w:leader="none"/>
        </w:tabs>
        <w:ind w:left="0" w:firstLine="709"/>
        <w:jc w:val="both"/>
        <w:rPr>
          <w:bCs/>
        </w:rPr>
      </w:pPr>
      <w:r>
        <w:rPr>
          <w:bCs/>
        </w:rPr>
        <w:t xml:space="preserve">срок окончания Независимой гарантии – не ранее 70 (семидесяти) календарных дней после наступления даты завершения Работ </w:t>
      </w:r>
      <w:r>
        <w:rPr>
          <w:bCs/>
          <w:highlight w:val="lightGray"/>
        </w:rPr>
        <w:t>по Договору в целом</w:t>
      </w:r>
      <w:r>
        <w:rPr>
          <w:bCs/>
        </w:rPr>
        <w:t>;</w:t>
      </w:r>
    </w:p>
    <w:p>
      <w:pPr>
        <w:pStyle w:val="Normal"/>
        <w:tabs>
          <w:tab w:val="clear" w:pos="709"/>
          <w:tab w:val="left" w:pos="1134" w:leader="none"/>
        </w:tabs>
        <w:spacing w:lineRule="auto" w:line="240"/>
        <w:ind w:firstLine="709"/>
        <w:rPr>
          <w:bCs/>
          <w:sz w:val="24"/>
        </w:rPr>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3"/>
        </w:numPr>
        <w:tabs>
          <w:tab w:val="clear" w:pos="709"/>
          <w:tab w:val="left" w:pos="1134" w:leader="none"/>
        </w:tabs>
        <w:ind w:left="0" w:firstLine="709"/>
        <w:jc w:val="both"/>
        <w:rPr/>
      </w:pPr>
      <w:r>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pPr>
        <w:pStyle w:val="Normal"/>
        <w:tabs>
          <w:tab w:val="clear" w:pos="709"/>
          <w:tab w:val="left" w:pos="1134" w:leader="none"/>
        </w:tabs>
        <w:spacing w:lineRule="auto" w:line="240"/>
        <w:ind w:firstLine="709"/>
        <w:rPr>
          <w:bCs/>
          <w:sz w:val="24"/>
          <w:szCs w:val="24"/>
        </w:rPr>
      </w:pPr>
      <w:r>
        <w:rPr>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tabs>
          <w:tab w:val="clear" w:pos="709"/>
          <w:tab w:val="left" w:pos="1134" w:leader="none"/>
        </w:tabs>
        <w:spacing w:lineRule="auto" w:line="240"/>
        <w:ind w:firstLine="709"/>
        <w:rPr>
          <w:bCs/>
          <w:sz w:val="24"/>
          <w:szCs w:val="24"/>
        </w:rPr>
      </w:pPr>
      <w:r>
        <w:rPr>
          <w:bCs/>
          <w:sz w:val="24"/>
          <w:szCs w:val="24"/>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ListParagraph"/>
        <w:numPr>
          <w:ilvl w:val="1"/>
          <w:numId w:val="3"/>
        </w:numPr>
        <w:tabs>
          <w:tab w:val="clear" w:pos="709"/>
          <w:tab w:val="left" w:pos="1134" w:leader="none"/>
        </w:tabs>
        <w:ind w:left="0" w:firstLine="709"/>
        <w:jc w:val="both"/>
        <w:rPr>
          <w:bCs/>
        </w:rPr>
      </w:pPr>
      <w:r>
        <w:rPr/>
        <w:t>Выбор формы направления такого требования осуществляется бенефициаром самостоятельно.</w:t>
      </w:r>
    </w:p>
    <w:p>
      <w:pPr>
        <w:pStyle w:val="ListParagraph"/>
        <w:numPr>
          <w:ilvl w:val="1"/>
          <w:numId w:val="3"/>
        </w:numPr>
        <w:tabs>
          <w:tab w:val="clear" w:pos="709"/>
          <w:tab w:val="left" w:pos="1134" w:leader="none"/>
        </w:tabs>
        <w:ind w:left="0" w:firstLine="709"/>
        <w:jc w:val="both"/>
        <w:rPr>
          <w:bCs/>
        </w:rPr>
      </w:pPr>
      <w:r>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ListParagraph"/>
        <w:numPr>
          <w:ilvl w:val="0"/>
          <w:numId w:val="21"/>
        </w:numPr>
        <w:tabs>
          <w:tab w:val="clear" w:pos="709"/>
          <w:tab w:val="left" w:pos="1134" w:leader="none"/>
        </w:tabs>
        <w:ind w:left="0" w:firstLine="709"/>
        <w:jc w:val="both"/>
        <w:rPr>
          <w:bCs/>
        </w:rPr>
      </w:pPr>
      <w:r>
        <w:rPr>
          <w:bCs/>
        </w:rPr>
        <w:t>расчет суммы, включаемой в требование об уплате денежной суммы по Независимой гарантии;</w:t>
      </w:r>
    </w:p>
    <w:p>
      <w:pPr>
        <w:pStyle w:val="ListParagraph"/>
        <w:numPr>
          <w:ilvl w:val="0"/>
          <w:numId w:val="21"/>
        </w:numPr>
        <w:tabs>
          <w:tab w:val="clear" w:pos="709"/>
          <w:tab w:val="left" w:pos="1134" w:leader="none"/>
        </w:tabs>
        <w:ind w:left="0" w:firstLine="709"/>
        <w:jc w:val="both"/>
        <w:rPr>
          <w:bCs/>
        </w:rPr>
      </w:pPr>
      <w:r>
        <w:rPr>
          <w:bCs/>
        </w:rPr>
        <w:t>документ, содержащий указание на нарушения принципалом обязательств, предусмотренных Договором;</w:t>
      </w:r>
    </w:p>
    <w:p>
      <w:pPr>
        <w:pStyle w:val="ListParagraph"/>
        <w:numPr>
          <w:ilvl w:val="0"/>
          <w:numId w:val="21"/>
        </w:numPr>
        <w:tabs>
          <w:tab w:val="clear" w:pos="709"/>
          <w:tab w:val="left" w:pos="1134" w:leader="none"/>
        </w:tabs>
        <w:ind w:left="0" w:firstLine="709"/>
        <w:jc w:val="both"/>
        <w:rPr>
          <w:bCs/>
        </w:rPr>
      </w:pPr>
      <w:r>
        <w:rPr>
          <w:bCs/>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ListParagraph"/>
        <w:tabs>
          <w:tab w:val="clear" w:pos="709"/>
          <w:tab w:val="left" w:pos="1134" w:leader="none"/>
        </w:tabs>
        <w:ind w:left="0" w:firstLine="709"/>
        <w:jc w:val="both"/>
        <w:rPr/>
      </w:pPr>
      <w: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ListParagraph"/>
        <w:numPr>
          <w:ilvl w:val="1"/>
          <w:numId w:val="3"/>
        </w:numPr>
        <w:tabs>
          <w:tab w:val="clear" w:pos="709"/>
          <w:tab w:val="left" w:pos="1134" w:leader="none"/>
        </w:tabs>
        <w:ind w:left="0" w:firstLine="709"/>
        <w:jc w:val="both"/>
        <w:rPr/>
      </w:pPr>
      <w:r>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ListParagraph"/>
        <w:numPr>
          <w:ilvl w:val="1"/>
          <w:numId w:val="3"/>
        </w:numPr>
        <w:tabs>
          <w:tab w:val="clear" w:pos="709"/>
          <w:tab w:val="left" w:pos="1134" w:leader="none"/>
        </w:tabs>
        <w:ind w:left="0" w:firstLine="709"/>
        <w:jc w:val="both"/>
        <w:rPr/>
      </w:pPr>
      <w:r>
        <w:rPr/>
        <w:t>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ListParagraph"/>
        <w:numPr>
          <w:ilvl w:val="0"/>
          <w:numId w:val="22"/>
        </w:numPr>
        <w:tabs>
          <w:tab w:val="clear" w:pos="709"/>
          <w:tab w:val="left" w:pos="1134" w:leader="none"/>
        </w:tabs>
        <w:ind w:left="0" w:firstLine="709"/>
        <w:jc w:val="both"/>
        <w:rPr/>
      </w:pPr>
      <w:r>
        <w:rPr/>
        <w:t>отказа Подрядчика от исполнения обязательств по Договору, в том числе одностороннего отказа от Договора;</w:t>
      </w:r>
    </w:p>
    <w:p>
      <w:pPr>
        <w:pStyle w:val="ListParagraph"/>
        <w:numPr>
          <w:ilvl w:val="0"/>
          <w:numId w:val="22"/>
        </w:numPr>
        <w:tabs>
          <w:tab w:val="clear" w:pos="709"/>
          <w:tab w:val="left" w:pos="1134" w:leader="none"/>
        </w:tabs>
        <w:ind w:left="0" w:firstLine="709"/>
        <w:jc w:val="both"/>
        <w:rPr/>
      </w:pPr>
      <w:r>
        <w:rPr/>
        <w:t>отказа Подрядчика от возврата неотработанного аванса при досрочном прекращении Договора / признании Договора недействительным;</w:t>
      </w:r>
    </w:p>
    <w:p>
      <w:pPr>
        <w:pStyle w:val="ListParagraph"/>
        <w:numPr>
          <w:ilvl w:val="0"/>
          <w:numId w:val="22"/>
        </w:numPr>
        <w:tabs>
          <w:tab w:val="clear" w:pos="709"/>
          <w:tab w:val="left" w:pos="1134" w:leader="none"/>
        </w:tabs>
        <w:ind w:left="0" w:firstLine="709"/>
        <w:jc w:val="both"/>
        <w:rPr/>
      </w:pPr>
      <w:r>
        <w:rPr/>
        <w:t>нарушения Подрядчиком сроков поставки (выполнения работ, оказания услуг), установленных Календарным графиком выполнения работ (Приложение № 2 к Договору), более чем на 60 (шестьдесят) календарных дней;</w:t>
      </w:r>
    </w:p>
    <w:p>
      <w:pPr>
        <w:pStyle w:val="ListParagraph"/>
        <w:numPr>
          <w:ilvl w:val="0"/>
          <w:numId w:val="22"/>
        </w:numPr>
        <w:tabs>
          <w:tab w:val="clear" w:pos="709"/>
          <w:tab w:val="left" w:pos="1134" w:leader="none"/>
        </w:tabs>
        <w:ind w:left="0" w:firstLine="709"/>
        <w:jc w:val="both"/>
        <w:rPr/>
      </w:pPr>
      <w:r>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ListParagraph"/>
        <w:numPr>
          <w:ilvl w:val="0"/>
          <w:numId w:val="22"/>
        </w:numPr>
        <w:tabs>
          <w:tab w:val="clear" w:pos="709"/>
          <w:tab w:val="left" w:pos="1134" w:leader="none"/>
        </w:tabs>
        <w:ind w:left="0" w:firstLine="709"/>
        <w:jc w:val="both"/>
        <w:rPr/>
      </w:pPr>
      <w:r>
        <w:rPr/>
        <w:t xml:space="preserve">прекращения членства Подрядчика в СРО, основанной на членстве лиц, выполняющих инженерные изыскания / подготовку проектной документации или осуществляющих строительство; </w:t>
      </w:r>
    </w:p>
    <w:p>
      <w:pPr>
        <w:pStyle w:val="ListParagraph"/>
        <w:numPr>
          <w:ilvl w:val="0"/>
          <w:numId w:val="22"/>
        </w:numPr>
        <w:tabs>
          <w:tab w:val="clear" w:pos="709"/>
          <w:tab w:val="left" w:pos="1134" w:leader="none"/>
        </w:tabs>
        <w:ind w:left="0" w:firstLine="709"/>
        <w:jc w:val="both"/>
        <w:rPr/>
      </w:pPr>
      <w:r>
        <w:rPr/>
        <w:t>введения арбитражным судом процедуры несостоятельности (банкротства) в отношении Подрядчика;</w:t>
      </w:r>
    </w:p>
    <w:p>
      <w:pPr>
        <w:pStyle w:val="ListParagraph"/>
        <w:numPr>
          <w:ilvl w:val="0"/>
          <w:numId w:val="22"/>
        </w:numPr>
        <w:tabs>
          <w:tab w:val="clear" w:pos="709"/>
          <w:tab w:val="left" w:pos="1134" w:leader="none"/>
        </w:tabs>
        <w:ind w:left="0" w:firstLine="709"/>
        <w:jc w:val="both"/>
        <w:rPr/>
      </w:pPr>
      <w: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ListParagraph"/>
        <w:numPr>
          <w:ilvl w:val="0"/>
          <w:numId w:val="22"/>
        </w:numPr>
        <w:tabs>
          <w:tab w:val="clear" w:pos="709"/>
          <w:tab w:val="left" w:pos="1134" w:leader="none"/>
        </w:tabs>
        <w:ind w:left="0" w:firstLine="709"/>
        <w:jc w:val="both"/>
        <w:rPr/>
      </w:pPr>
      <w:r>
        <w:rPr/>
        <w:t>признания Договора недействительным по причинам отсутствия необходимых корпоративных одобрений у Подрядчика;</w:t>
      </w:r>
    </w:p>
    <w:p>
      <w:pPr>
        <w:pStyle w:val="ListParagraph"/>
        <w:numPr>
          <w:ilvl w:val="0"/>
          <w:numId w:val="22"/>
        </w:numPr>
        <w:tabs>
          <w:tab w:val="clear" w:pos="709"/>
          <w:tab w:val="left" w:pos="1134" w:leader="none"/>
        </w:tabs>
        <w:ind w:left="0" w:firstLine="709"/>
        <w:jc w:val="both"/>
        <w:rPr/>
      </w:pPr>
      <w: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ListParagraph"/>
        <w:numPr>
          <w:ilvl w:val="1"/>
          <w:numId w:val="3"/>
        </w:numPr>
        <w:tabs>
          <w:tab w:val="clear" w:pos="709"/>
          <w:tab w:val="left" w:pos="1134" w:leader="none"/>
        </w:tabs>
        <w:ind w:left="0" w:firstLine="709"/>
        <w:jc w:val="both"/>
        <w:rPr/>
      </w:pPr>
      <w:r>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ListParagraph"/>
        <w:numPr>
          <w:ilvl w:val="1"/>
          <w:numId w:val="3"/>
        </w:numPr>
        <w:tabs>
          <w:tab w:val="clear" w:pos="709"/>
          <w:tab w:val="left" w:pos="1134" w:leader="none"/>
        </w:tabs>
        <w:ind w:left="0" w:firstLine="709"/>
        <w:jc w:val="both"/>
        <w:rPr/>
      </w:pPr>
      <w:r>
        <w:rPr/>
        <w:t>Текст Независимой гарантии должен содержать следующие условия:</w:t>
      </w:r>
    </w:p>
    <w:p>
      <w:pPr>
        <w:pStyle w:val="ListParagraph"/>
        <w:numPr>
          <w:ilvl w:val="2"/>
          <w:numId w:val="3"/>
        </w:numPr>
        <w:tabs>
          <w:tab w:val="clear" w:pos="709"/>
          <w:tab w:val="left" w:pos="1134" w:leader="none"/>
        </w:tabs>
        <w:ind w:left="0" w:firstLine="709"/>
        <w:jc w:val="both"/>
        <w:rPr/>
      </w:pPr>
      <w:r>
        <w:rPr/>
        <w:t>Перечень Документов к требованию.</w:t>
      </w:r>
    </w:p>
    <w:p>
      <w:pPr>
        <w:pStyle w:val="ListParagraph"/>
        <w:numPr>
          <w:ilvl w:val="2"/>
          <w:numId w:val="3"/>
        </w:numPr>
        <w:tabs>
          <w:tab w:val="clear" w:pos="709"/>
          <w:tab w:val="left" w:pos="1134" w:leader="none"/>
        </w:tabs>
        <w:ind w:left="0" w:firstLine="709"/>
        <w:jc w:val="both"/>
        <w:rPr/>
      </w:pPr>
      <w:r>
        <w:rPr/>
        <w:t>Обязанность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ListParagraph"/>
        <w:numPr>
          <w:ilvl w:val="2"/>
          <w:numId w:val="3"/>
        </w:numPr>
        <w:tabs>
          <w:tab w:val="clear" w:pos="709"/>
          <w:tab w:val="left" w:pos="1134" w:leader="none"/>
        </w:tabs>
        <w:ind w:left="0" w:firstLine="709"/>
        <w:jc w:val="both"/>
        <w:rPr/>
      </w:pPr>
      <w:r>
        <w:rPr/>
        <w:t>Право Бенефициара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pPr>
        <w:pStyle w:val="ListParagraph"/>
        <w:numPr>
          <w:ilvl w:val="2"/>
          <w:numId w:val="3"/>
        </w:numPr>
        <w:tabs>
          <w:tab w:val="clear" w:pos="709"/>
          <w:tab w:val="left" w:pos="1134" w:leader="none"/>
        </w:tabs>
        <w:ind w:left="0" w:firstLine="709"/>
        <w:jc w:val="both"/>
        <w:rPr/>
      </w:pPr>
      <w:r>
        <w:rPr/>
        <w:t>Расходы, возникающие в связи с перечислением гарантом денежных средств по Независимой гарантии, несет гарант.</w:t>
      </w:r>
    </w:p>
    <w:p>
      <w:pPr>
        <w:pStyle w:val="ListParagraph"/>
        <w:numPr>
          <w:ilvl w:val="2"/>
          <w:numId w:val="3"/>
        </w:numPr>
        <w:tabs>
          <w:tab w:val="clear" w:pos="709"/>
          <w:tab w:val="left" w:pos="1134" w:leader="none"/>
        </w:tabs>
        <w:ind w:left="0" w:firstLine="709"/>
        <w:jc w:val="both"/>
        <w:rPr/>
      </w:pPr>
      <w:r>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ListParagraph"/>
        <w:numPr>
          <w:ilvl w:val="2"/>
          <w:numId w:val="3"/>
        </w:numPr>
        <w:tabs>
          <w:tab w:val="clear" w:pos="709"/>
          <w:tab w:val="left" w:pos="1134" w:leader="none"/>
        </w:tabs>
        <w:ind w:left="0" w:firstLine="709"/>
        <w:jc w:val="both"/>
        <w:rPr/>
      </w:pPr>
      <w:r>
        <w:rPr/>
        <w:t>Споры, возникающие в связи с исполнением обязательств по Независимой гарантии, рассматриваются в Арбитражном суде Хабаровского края.</w:t>
      </w:r>
    </w:p>
    <w:p>
      <w:pPr>
        <w:pStyle w:val="ListParagraph"/>
        <w:numPr>
          <w:ilvl w:val="2"/>
          <w:numId w:val="3"/>
        </w:numPr>
        <w:tabs>
          <w:tab w:val="clear" w:pos="709"/>
          <w:tab w:val="left" w:pos="1134" w:leader="none"/>
        </w:tabs>
        <w:ind w:left="0" w:firstLine="709"/>
        <w:jc w:val="both"/>
        <w:rPr/>
      </w:pPr>
      <w:r>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ListParagraph"/>
        <w:numPr>
          <w:ilvl w:val="2"/>
          <w:numId w:val="3"/>
        </w:numPr>
        <w:tabs>
          <w:tab w:val="clear" w:pos="709"/>
          <w:tab w:val="left" w:pos="1134" w:leader="none"/>
        </w:tabs>
        <w:ind w:left="0" w:firstLine="709"/>
        <w:jc w:val="both"/>
        <w:rPr/>
      </w:pPr>
      <w:r>
        <w:rPr/>
        <w:t>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ListParagraph"/>
        <w:numPr>
          <w:ilvl w:val="1"/>
          <w:numId w:val="3"/>
        </w:numPr>
        <w:tabs>
          <w:tab w:val="clear" w:pos="709"/>
          <w:tab w:val="left" w:pos="1134" w:leader="none"/>
        </w:tabs>
        <w:ind w:left="0" w:firstLine="709"/>
        <w:jc w:val="both"/>
        <w:rPr/>
      </w:pPr>
      <w:r>
        <w:rPr/>
        <w:t>Независимая гарантия не должна содержать условия:</w:t>
      </w:r>
    </w:p>
    <w:p>
      <w:pPr>
        <w:pStyle w:val="ListParagraph"/>
        <w:numPr>
          <w:ilvl w:val="0"/>
          <w:numId w:val="23"/>
        </w:numPr>
        <w:tabs>
          <w:tab w:val="clear" w:pos="709"/>
          <w:tab w:val="left" w:pos="1134" w:leader="none"/>
        </w:tabs>
        <w:spacing w:before="0" w:after="160"/>
        <w:ind w:left="0" w:firstLine="709"/>
        <w:contextualSpacing/>
        <w:jc w:val="both"/>
        <w:rPr/>
      </w:pPr>
      <w:r>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ListParagraph"/>
        <w:numPr>
          <w:ilvl w:val="0"/>
          <w:numId w:val="23"/>
        </w:numPr>
        <w:tabs>
          <w:tab w:val="clear" w:pos="709"/>
          <w:tab w:val="left" w:pos="1134" w:leader="none"/>
        </w:tabs>
        <w:spacing w:before="0" w:after="160"/>
        <w:ind w:left="0" w:firstLine="709"/>
        <w:contextualSpacing/>
        <w:jc w:val="both"/>
        <w:rPr/>
      </w:pPr>
      <w:r>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ListParagraph"/>
        <w:numPr>
          <w:ilvl w:val="0"/>
          <w:numId w:val="23"/>
        </w:numPr>
        <w:tabs>
          <w:tab w:val="clear" w:pos="709"/>
          <w:tab w:val="left" w:pos="1134" w:leader="none"/>
        </w:tabs>
        <w:spacing w:before="0" w:after="160"/>
        <w:ind w:left="0" w:firstLine="709"/>
        <w:contextualSpacing/>
        <w:jc w:val="both"/>
        <w:rPr/>
      </w:pPr>
      <w:r>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ListParagraph"/>
        <w:numPr>
          <w:ilvl w:val="0"/>
          <w:numId w:val="23"/>
        </w:numPr>
        <w:tabs>
          <w:tab w:val="clear" w:pos="709"/>
          <w:tab w:val="left" w:pos="1134" w:leader="none"/>
        </w:tabs>
        <w:spacing w:before="0" w:after="160"/>
        <w:ind w:left="0" w:firstLine="709"/>
        <w:contextualSpacing/>
        <w:jc w:val="both"/>
        <w:rPr/>
      </w:pPr>
      <w:r>
        <w:rPr/>
        <w:t>о предоставлении бенефициаром гаранту судебных актов, подтверждающих неисполнение Подрядчиком обязательств, обеспечиваемых Независимой гарантией.</w:t>
      </w:r>
    </w:p>
    <w:p>
      <w:pPr>
        <w:pStyle w:val="ListParagraph"/>
        <w:numPr>
          <w:ilvl w:val="1"/>
          <w:numId w:val="3"/>
        </w:numPr>
        <w:tabs>
          <w:tab w:val="clear" w:pos="709"/>
          <w:tab w:val="left" w:pos="1134" w:leader="none"/>
        </w:tabs>
        <w:spacing w:before="0" w:after="160"/>
        <w:ind w:left="0" w:firstLine="709"/>
        <w:contextualSpacing/>
        <w:jc w:val="both"/>
        <w:rPr/>
      </w:pPr>
      <w:r>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numPr>
          <w:ilvl w:val="1"/>
          <w:numId w:val="3"/>
        </w:numPr>
        <w:tabs>
          <w:tab w:val="clear" w:pos="709"/>
          <w:tab w:val="left" w:pos="1134" w:leader="none"/>
        </w:tabs>
        <w:spacing w:before="0" w:after="160"/>
        <w:ind w:left="0" w:firstLine="709"/>
        <w:contextualSpacing/>
        <w:jc w:val="both"/>
        <w:rPr/>
      </w:pPr>
      <w:r>
        <w:rPr/>
        <w:t>Текст независимой гарантии должен содержать следующее условие:</w:t>
      </w:r>
    </w:p>
    <w:p>
      <w:pPr>
        <w:pStyle w:val="ListParagraph"/>
        <w:tabs>
          <w:tab w:val="clear" w:pos="709"/>
          <w:tab w:val="left" w:pos="1134" w:leader="none"/>
        </w:tabs>
        <w:spacing w:before="0" w:after="160"/>
        <w:ind w:left="0" w:firstLine="709"/>
        <w:contextualSpacing/>
        <w:jc w:val="both"/>
        <w:rPr/>
      </w:pPr>
      <w: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numPr>
          <w:ilvl w:val="1"/>
          <w:numId w:val="3"/>
        </w:numPr>
        <w:tabs>
          <w:tab w:val="clear" w:pos="709"/>
          <w:tab w:val="left" w:pos="1134" w:leader="none"/>
        </w:tabs>
        <w:ind w:left="0" w:firstLine="709"/>
        <w:jc w:val="both"/>
        <w:rPr/>
      </w:pPr>
      <w: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numPr>
          <w:ilvl w:val="1"/>
          <w:numId w:val="3"/>
        </w:numPr>
        <w:tabs>
          <w:tab w:val="clear" w:pos="709"/>
          <w:tab w:val="left" w:pos="1134" w:leader="none"/>
        </w:tabs>
        <w:ind w:left="0" w:firstLine="709"/>
        <w:jc w:val="both"/>
        <w:rPr/>
      </w:pPr>
      <w: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numPr>
          <w:ilvl w:val="1"/>
          <w:numId w:val="3"/>
        </w:numPr>
        <w:tabs>
          <w:tab w:val="clear" w:pos="709"/>
          <w:tab w:val="left" w:pos="1134" w:leader="none"/>
        </w:tabs>
        <w:ind w:left="0" w:firstLine="709"/>
        <w:jc w:val="both"/>
        <w:rPr/>
      </w:pPr>
      <w:r>
        <w:rPr>
          <w:bCs/>
        </w:rPr>
        <w:t xml:space="preserve">В случаях: </w:t>
      </w:r>
    </w:p>
    <w:p>
      <w:pPr>
        <w:pStyle w:val="ListParagraph"/>
        <w:numPr>
          <w:ilvl w:val="0"/>
          <w:numId w:val="24"/>
        </w:numPr>
        <w:shd w:val="clear" w:color="auto" w:fill="FFFFFF"/>
        <w:tabs>
          <w:tab w:val="clear" w:pos="709"/>
          <w:tab w:val="left" w:pos="1134" w:leader="none"/>
        </w:tabs>
        <w:ind w:left="0" w:firstLine="709"/>
        <w:jc w:val="both"/>
        <w:rPr>
          <w:bCs/>
        </w:rPr>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4"/>
        </w:numPr>
        <w:shd w:val="clear" w:color="auto" w:fill="FFFFFF"/>
        <w:tabs>
          <w:tab w:val="clear" w:pos="709"/>
          <w:tab w:val="left" w:pos="1134" w:leader="none"/>
        </w:tabs>
        <w:ind w:left="0" w:firstLine="709"/>
        <w:jc w:val="both"/>
        <w:rPr>
          <w:bCs/>
        </w:rPr>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shd w:val="clear" w:color="auto" w:fill="FFFFFF"/>
        <w:tabs>
          <w:tab w:val="clear" w:pos="709"/>
          <w:tab w:val="left" w:pos="1134" w:leader="none"/>
        </w:tabs>
        <w:ind w:left="0" w:firstLine="709"/>
        <w:jc w:val="both"/>
        <w:rPr>
          <w:bCs/>
        </w:rPr>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shd w:val="clear" w:color="auto" w:fill="FFFFFF"/>
        <w:tabs>
          <w:tab w:val="clear" w:pos="709"/>
          <w:tab w:val="left" w:pos="1134" w:leader="none"/>
        </w:tabs>
        <w:ind w:left="0" w:firstLine="709"/>
        <w:jc w:val="both"/>
        <w:rPr/>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t>.</w:t>
      </w:r>
    </w:p>
    <w:p>
      <w:pPr>
        <w:pStyle w:val="ListParagraph"/>
        <w:numPr>
          <w:ilvl w:val="1"/>
          <w:numId w:val="3"/>
        </w:numPr>
        <w:shd w:val="clear" w:color="auto" w:fill="FFFFFF"/>
        <w:tabs>
          <w:tab w:val="clear" w:pos="709"/>
          <w:tab w:val="left" w:pos="1134" w:leader="none"/>
        </w:tabs>
        <w:ind w:left="0" w:firstLine="709"/>
        <w:jc w:val="both"/>
        <w:rPr>
          <w:bCs/>
        </w:rPr>
      </w:pPr>
      <w:r>
        <w:rPr/>
        <w:t>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Ответственность Сторон</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Pr>
          <w:sz w:val="24"/>
          <w:szCs w:val="24"/>
        </w:rPr>
        <w:t>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 н</w:t>
      </w:r>
      <w:r>
        <w:rPr>
          <w:rFonts w:eastAsia="Calibri"/>
          <w:bCs/>
          <w:sz w:val="24"/>
          <w:szCs w:val="24"/>
        </w:rPr>
        <w:t>еустойки в размере 0,1 (ноль целых и одна десятая) процента от цены договора за каждый день просрочки выполнения Работ;</w:t>
      </w:r>
    </w:p>
    <w:p>
      <w:pPr>
        <w:pStyle w:val="ListParagraph"/>
        <w:numPr>
          <w:ilvl w:val="1"/>
          <w:numId w:val="3"/>
        </w:numPr>
        <w:shd w:val="clear" w:color="auto" w:fill="FFFFFF"/>
        <w:tabs>
          <w:tab w:val="clear" w:pos="709"/>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9"/>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в разделе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9"/>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9"/>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rPr>
      </w:pPr>
      <w:r>
        <w:rPr>
          <w:b/>
          <w:color w:val="000000"/>
          <w:sz w:val="24"/>
          <w:szCs w:val="24"/>
        </w:rPr>
      </w:r>
    </w:p>
    <w:p>
      <w:pPr>
        <w:pStyle w:val="ListParagraph"/>
        <w:numPr>
          <w:ilvl w:val="0"/>
          <w:numId w:val="3"/>
        </w:numPr>
        <w:shd w:val="clear" w:color="auto" w:fill="FFFFFF"/>
        <w:tabs>
          <w:tab w:val="clear" w:pos="709"/>
          <w:tab w:val="left" w:pos="284" w:leader="none"/>
        </w:tabs>
        <w:ind w:left="0" w:hanging="0"/>
        <w:jc w:val="center"/>
        <w:rPr>
          <w:b/>
          <w:bCs/>
        </w:rPr>
      </w:pPr>
      <w:r>
        <w:rPr>
          <w:b/>
          <w:bCs/>
        </w:rPr>
        <w:t xml:space="preserve">Гарантии качества Результата </w:t>
      </w:r>
      <w:r>
        <w:rPr>
          <w:b/>
          <w:bCs/>
          <w:lang w:val="en-US"/>
        </w:rPr>
        <w:t>Р</w:t>
      </w:r>
      <w:r>
        <w:rPr>
          <w:b/>
          <w:bCs/>
        </w:rPr>
        <w:t>абот</w:t>
      </w:r>
    </w:p>
    <w:p>
      <w:pPr>
        <w:pStyle w:val="Normal"/>
        <w:numPr>
          <w:ilvl w:val="1"/>
          <w:numId w:val="3"/>
        </w:numPr>
        <w:tabs>
          <w:tab w:val="clear" w:pos="709"/>
          <w:tab w:val="left" w:pos="1134" w:leader="none"/>
        </w:tabs>
        <w:spacing w:lineRule="auto" w:line="240"/>
        <w:ind w:left="0" w:firstLine="709"/>
        <w:rPr>
          <w:bCs/>
          <w:sz w:val="24"/>
          <w:szCs w:val="24"/>
        </w:rPr>
      </w:pPr>
      <w:bookmarkStart w:id="26" w:name="_Ref361337777"/>
      <w:r>
        <w:rPr>
          <w:sz w:val="24"/>
          <w:szCs w:val="24"/>
        </w:rPr>
        <w:t>Гарантийный</w:t>
      </w:r>
      <w:r>
        <w:rPr>
          <w:bCs/>
          <w:sz w:val="24"/>
          <w:szCs w:val="24"/>
        </w:rPr>
        <w:t xml:space="preserve"> срок по Договору составляет 24</w:t>
      </w:r>
      <w:r>
        <w:rPr>
          <w:sz w:val="24"/>
          <w:szCs w:val="24"/>
          <w:highlight w:val="lightGray"/>
        </w:rPr>
        <w:t xml:space="preserve"> </w:t>
      </w:r>
      <w:r>
        <w:rPr>
          <w:bCs/>
          <w:sz w:val="24"/>
          <w:szCs w:val="24"/>
          <w:highlight w:val="lightGray"/>
        </w:rPr>
        <w:t>(двадцать четыре)</w:t>
      </w:r>
      <w:r>
        <w:rPr>
          <w:sz w:val="24"/>
          <w:szCs w:val="24"/>
          <w:highlight w:val="lightGray"/>
        </w:rPr>
        <w:t xml:space="preserve"> месяца</w:t>
      </w:r>
      <w:r>
        <w:rPr>
          <w:bCs/>
          <w:sz w:val="24"/>
          <w:szCs w:val="24"/>
          <w:highlight w:val="lightGray"/>
        </w:rPr>
        <w:t xml:space="preserve"> и начинает течь с даты подписания Сторонами А</w:t>
      </w:r>
      <w:r>
        <w:rPr>
          <w:sz w:val="24"/>
          <w:szCs w:val="24"/>
          <w:highlight w:val="lightGray"/>
        </w:rPr>
        <w:t>кта КС-11</w:t>
      </w:r>
      <w:r>
        <w:rPr>
          <w:bCs/>
          <w:sz w:val="24"/>
          <w:szCs w:val="24"/>
          <w:highlight w:val="lightGray"/>
        </w:rPr>
        <w:t xml:space="preserve"> </w:t>
      </w:r>
      <w:bookmarkEnd w:id="26"/>
      <w:r>
        <w:rPr>
          <w:bCs/>
          <w:sz w:val="24"/>
          <w:szCs w:val="24"/>
          <w:highlight w:val="lightGray"/>
        </w:rPr>
        <w:t>либо с даты прекращения (расторжения) Договора</w:t>
      </w:r>
      <w:r>
        <w:rPr>
          <w:bCs/>
          <w:sz w:val="24"/>
          <w:szCs w:val="24"/>
        </w:rPr>
        <w:t xml:space="preserve">. Гарантийный срок может быть продлен в соответствии с условиями Договора. </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В течение Гарантийного срока Подрядчик гарантирует </w:t>
      </w:r>
      <w:r>
        <w:rPr>
          <w:bCs/>
          <w:highlight w:val="lightGray"/>
        </w:rPr>
        <w:t>сохранение Гарантированных показателей,</w:t>
      </w:r>
      <w:r>
        <w:rPr>
          <w:bCs/>
        </w:rPr>
        <w:t xml:space="preserve">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3"/>
        </w:numPr>
        <w:shd w:val="clear" w:color="auto" w:fill="FFFFFF"/>
        <w:tabs>
          <w:tab w:val="clear" w:pos="709"/>
          <w:tab w:val="left" w:pos="1134" w:leader="none"/>
        </w:tabs>
        <w:ind w:left="0" w:firstLine="709"/>
        <w:jc w:val="both"/>
        <w:rPr>
          <w:bCs/>
        </w:rPr>
      </w:pPr>
      <w:bookmarkStart w:id="27"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Pr>
          <w:bCs/>
        </w:rPr>
        <w:t xml:space="preserve"> </w:t>
      </w:r>
    </w:p>
    <w:p>
      <w:pPr>
        <w:pStyle w:val="ListParagraph"/>
        <w:numPr>
          <w:ilvl w:val="1"/>
          <w:numId w:val="3"/>
        </w:numPr>
        <w:shd w:val="clear" w:color="auto" w:fill="FFFFFF"/>
        <w:tabs>
          <w:tab w:val="clear" w:pos="709"/>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8" w:name="OLE_LINK6"/>
      <w:bookmarkStart w:id="29" w:name="OLE_LINK5"/>
      <w:r>
        <w:rPr>
          <w:bCs/>
        </w:rPr>
        <w:t>Акте о недостатках, составленном в порядке, установленном пунктом 8.5 Договора</w:t>
      </w:r>
      <w:bookmarkEnd w:id="28"/>
      <w:bookmarkEnd w:id="29"/>
      <w:r>
        <w:rPr>
          <w:bCs/>
        </w:rPr>
        <w:t>.</w:t>
      </w:r>
      <w:r>
        <w:rPr/>
        <w:t xml:space="preserve"> </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9"/>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3"/>
        </w:numPr>
        <w:shd w:val="clear" w:color="auto" w:fill="FFFFFF"/>
        <w:tabs>
          <w:tab w:val="clear" w:pos="709"/>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Исключительные права и патенты</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9"/>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9"/>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3"/>
        </w:numPr>
        <w:shd w:val="clear" w:color="auto" w:fill="FFFFFF"/>
        <w:tabs>
          <w:tab w:val="clear" w:pos="709"/>
          <w:tab w:val="left" w:pos="426" w:leader="none"/>
        </w:tabs>
        <w:ind w:left="0" w:hanging="0"/>
        <w:jc w:val="center"/>
        <w:rPr>
          <w:b/>
          <w:bCs/>
        </w:rPr>
      </w:pPr>
      <w:r>
        <w:rPr>
          <w:b/>
          <w:bCs/>
        </w:rPr>
        <w:t>Конфиденциальность</w:t>
      </w:r>
    </w:p>
    <w:p>
      <w:pPr>
        <w:pStyle w:val="ListParagraph"/>
        <w:numPr>
          <w:ilvl w:val="1"/>
          <w:numId w:val="3"/>
        </w:numPr>
        <w:shd w:val="clear" w:color="auto" w:fill="FFFFFF"/>
        <w:tabs>
          <w:tab w:val="clear" w:pos="709"/>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9"/>
          <w:tab w:val="left" w:pos="1134" w:leader="none"/>
        </w:tabs>
        <w:ind w:left="0" w:firstLine="709"/>
        <w:jc w:val="both"/>
        <w:rPr>
          <w:bCs/>
        </w:rPr>
      </w:pPr>
      <w:bookmarkStart w:id="30"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0"/>
      <w:r>
        <w:rPr>
          <w:bCs/>
        </w:rPr>
        <w:t xml:space="preserve"> </w:t>
      </w:r>
    </w:p>
    <w:p>
      <w:pPr>
        <w:pStyle w:val="ListParagraph"/>
        <w:numPr>
          <w:ilvl w:val="2"/>
          <w:numId w:val="3"/>
        </w:numPr>
        <w:shd w:val="clear" w:color="auto" w:fill="FFFFFF"/>
        <w:tabs>
          <w:tab w:val="clear" w:pos="709"/>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3"/>
        </w:numPr>
        <w:shd w:val="clear" w:color="auto" w:fill="FFFFFF"/>
        <w:tabs>
          <w:tab w:val="clear" w:pos="709"/>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9"/>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9"/>
          <w:tab w:val="left" w:pos="1701" w:leader="none"/>
        </w:tabs>
        <w:ind w:left="0" w:firstLine="709"/>
        <w:jc w:val="both"/>
        <w:rPr>
          <w:bCs/>
        </w:rPr>
      </w:pPr>
      <w:bookmarkStart w:id="31"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pPr>
        <w:pStyle w:val="ListParagraph"/>
        <w:numPr>
          <w:ilvl w:val="2"/>
          <w:numId w:val="3"/>
        </w:numPr>
        <w:shd w:val="clear" w:color="auto" w:fill="FFFFFF"/>
        <w:tabs>
          <w:tab w:val="clear" w:pos="709"/>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9"/>
          <w:tab w:val="left" w:pos="1134" w:leader="none"/>
        </w:tabs>
        <w:ind w:left="0" w:firstLine="709"/>
        <w:jc w:val="both"/>
        <w:rPr>
          <w:bCs/>
        </w:rPr>
      </w:pPr>
      <w:bookmarkStart w:id="32"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2"/>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3"/>
        </w:numPr>
        <w:shd w:val="clear" w:color="auto" w:fill="FFFFFF"/>
        <w:tabs>
          <w:tab w:val="clear" w:pos="709"/>
          <w:tab w:val="left" w:pos="426" w:leader="none"/>
        </w:tabs>
        <w:ind w:left="0" w:hanging="0"/>
        <w:jc w:val="center"/>
        <w:rPr>
          <w:bCs/>
        </w:rPr>
      </w:pPr>
      <w:r>
        <w:rPr>
          <w:b/>
          <w:bCs/>
        </w:rPr>
        <w:t>Разрешение споров</w:t>
      </w:r>
    </w:p>
    <w:p>
      <w:pPr>
        <w:pStyle w:val="ListParagraph"/>
        <w:numPr>
          <w:ilvl w:val="1"/>
          <w:numId w:val="3"/>
        </w:numPr>
        <w:shd w:val="clear" w:color="auto" w:fill="FFFFFF"/>
        <w:tabs>
          <w:tab w:val="clear" w:pos="709"/>
          <w:tab w:val="left" w:pos="1134"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highlight w:val="lightGray"/>
        </w:rPr>
        <w:t>Приморского края</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пунктом 6.8.6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9"/>
          <w:tab w:val="left" w:pos="1134"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9"/>
          <w:tab w:val="left" w:pos="1134" w:leader="none"/>
          <w:tab w:val="left" w:pos="1418" w:leader="none"/>
        </w:tabs>
        <w:ind w:hanging="0"/>
        <w:rPr>
          <w:bCs/>
        </w:rPr>
      </w:pPr>
      <w:r>
        <w:rPr>
          <w:bCs/>
        </w:rPr>
      </w:r>
    </w:p>
    <w:p>
      <w:pPr>
        <w:pStyle w:val="ListParagraph"/>
        <w:numPr>
          <w:ilvl w:val="0"/>
          <w:numId w:val="3"/>
        </w:numPr>
        <w:shd w:val="clear" w:color="auto" w:fill="FFFFFF"/>
        <w:tabs>
          <w:tab w:val="clear" w:pos="709"/>
          <w:tab w:val="left" w:pos="426" w:leader="none"/>
        </w:tabs>
        <w:ind w:left="0" w:hanging="0"/>
        <w:jc w:val="center"/>
        <w:rPr>
          <w:bCs/>
          <w:color w:val="000000"/>
        </w:rPr>
      </w:pPr>
      <w:r>
        <w:rPr>
          <w:b/>
          <w:bCs/>
        </w:rPr>
        <w:t>Антикоррупционная оговорка</w:t>
      </w:r>
    </w:p>
    <w:p>
      <w:pPr>
        <w:pStyle w:val="ListParagraph"/>
        <w:numPr>
          <w:ilvl w:val="1"/>
          <w:numId w:val="3"/>
        </w:numPr>
        <w:shd w:val="clear" w:color="auto" w:fill="FFFFFF"/>
        <w:tabs>
          <w:tab w:val="clear" w:pos="709"/>
          <w:tab w:val="left" w:pos="1134"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3"/>
        </w:numPr>
        <w:shd w:val="clear" w:color="auto" w:fill="FFFFFF"/>
        <w:tabs>
          <w:tab w:val="clear" w:pos="709"/>
          <w:tab w:val="left" w:pos="1134" w:leader="none"/>
        </w:tabs>
        <w:ind w:left="0" w:firstLine="709"/>
        <w:jc w:val="both"/>
        <w:rPr>
          <w:bCs/>
          <w:color w:val="000000"/>
        </w:rPr>
      </w:pPr>
      <w:r>
        <w:rPr>
          <w:color w:val="000000"/>
        </w:rPr>
        <w:t xml:space="preserve">Каналы связи Линия доверия Группы РусГидро: </w:t>
      </w:r>
    </w:p>
    <w:p>
      <w:pPr>
        <w:pStyle w:val="ListParagraph"/>
        <w:numPr>
          <w:ilvl w:val="2"/>
          <w:numId w:val="3"/>
        </w:numPr>
        <w:shd w:val="clear" w:color="auto" w:fill="FFFFFF"/>
        <w:tabs>
          <w:tab w:val="clear" w:pos="709"/>
          <w:tab w:val="left" w:pos="1134" w:leader="none"/>
        </w:tabs>
        <w:ind w:left="0" w:firstLine="709"/>
        <w:jc w:val="both"/>
        <w:rPr>
          <w:bCs/>
          <w:color w:val="000000"/>
        </w:rPr>
      </w:pPr>
      <w:r>
        <w:rPr/>
        <w:t xml:space="preserve">Электронная почта: </w:t>
      </w:r>
      <w:hyperlink r:id="rId2" w:tgtFrame="mailto:ld@rushydro.ru">
        <w:r>
          <w:rPr>
            <w:rStyle w:val="Hyperlink"/>
          </w:rPr>
          <w:t>ld@rushydro.ru</w:t>
        </w:r>
      </w:hyperlink>
      <w:r>
        <w:rPr/>
        <w:t>.</w:t>
      </w:r>
    </w:p>
    <w:p>
      <w:pPr>
        <w:pStyle w:val="ListParagraph"/>
        <w:numPr>
          <w:ilvl w:val="2"/>
          <w:numId w:val="3"/>
        </w:numPr>
        <w:shd w:val="clear" w:color="auto" w:fill="FFFFFF"/>
        <w:tabs>
          <w:tab w:val="clear" w:pos="709"/>
          <w:tab w:val="left" w:pos="1134" w:leader="none"/>
        </w:tabs>
        <w:ind w:left="0" w:firstLine="709"/>
        <w:jc w:val="both"/>
        <w:rPr>
          <w:bCs/>
          <w:color w:val="000000"/>
        </w:rPr>
      </w:pPr>
      <w:r>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3"/>
        </w:numPr>
        <w:shd w:val="clear" w:color="auto" w:fill="FFFFFF"/>
        <w:tabs>
          <w:tab w:val="clear" w:pos="709"/>
          <w:tab w:val="left" w:pos="1134" w:leader="none"/>
        </w:tabs>
        <w:ind w:left="0" w:firstLine="709"/>
        <w:jc w:val="both"/>
        <w:rPr>
          <w:bCs/>
          <w:color w:val="000000"/>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rPr>
      </w:pPr>
      <w:r>
        <w:rPr>
          <w:b/>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9"/>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9"/>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3"/>
        </w:numPr>
        <w:shd w:val="clear" w:color="auto" w:fill="FFFFFF"/>
        <w:tabs>
          <w:tab w:val="clear" w:pos="709"/>
          <w:tab w:val="left" w:pos="1134" w:leader="none"/>
        </w:tabs>
        <w:ind w:left="0" w:firstLine="709"/>
        <w:jc w:val="both"/>
        <w:rPr>
          <w:bCs/>
        </w:rPr>
      </w:pPr>
      <w:bookmarkStart w:id="33"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tgtFrame="consultantplus://offline/ref=94D5CE8889791A29DE57299515463A9D6134D8237B999C803E6F853513x2A2P">
        <w:r>
          <w:rPr>
            <w:bCs/>
          </w:rPr>
          <w:t>№ 18162/09</w:t>
        </w:r>
      </w:hyperlink>
      <w:r>
        <w:rPr>
          <w:bCs/>
        </w:rPr>
        <w:t xml:space="preserve"> и от 25.05.2010 </w:t>
      </w:r>
      <w:hyperlink r:id="rId4"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соответствующие </w:t>
      </w:r>
      <w:hyperlink r:id="rId5"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3"/>
    </w:p>
    <w:p>
      <w:pPr>
        <w:pStyle w:val="ListParagraph"/>
        <w:numPr>
          <w:ilvl w:val="1"/>
          <w:numId w:val="3"/>
        </w:numPr>
        <w:shd w:val="clear" w:color="auto" w:fill="FFFFFF"/>
        <w:tabs>
          <w:tab w:val="clear" w:pos="709"/>
          <w:tab w:val="left" w:pos="1134" w:leader="none"/>
        </w:tabs>
        <w:ind w:left="0" w:firstLine="709"/>
        <w:jc w:val="both"/>
        <w:rPr>
          <w:bCs/>
        </w:rPr>
      </w:pPr>
      <w:bookmarkStart w:id="34"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4"/>
    </w:p>
    <w:p>
      <w:pPr>
        <w:pStyle w:val="ListParagraph"/>
        <w:numPr>
          <w:ilvl w:val="1"/>
          <w:numId w:val="3"/>
        </w:numPr>
        <w:shd w:val="clear" w:color="auto" w:fill="FFFFFF"/>
        <w:tabs>
          <w:tab w:val="clear" w:pos="709"/>
          <w:tab w:val="left" w:pos="1134" w:leader="none"/>
        </w:tabs>
        <w:ind w:left="0" w:firstLine="709"/>
        <w:jc w:val="both"/>
        <w:rPr>
          <w:bCs/>
        </w:rPr>
      </w:pPr>
      <w:bookmarkStart w:id="35" w:name="_Ref361337948"/>
      <w:r>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5"/>
    </w:p>
    <w:p>
      <w:pPr>
        <w:pStyle w:val="ListParagraph"/>
        <w:numPr>
          <w:ilvl w:val="1"/>
          <w:numId w:val="3"/>
        </w:numPr>
        <w:shd w:val="clear" w:color="auto" w:fill="FFFFFF"/>
        <w:tabs>
          <w:tab w:val="clear" w:pos="709"/>
          <w:tab w:val="left" w:pos="1134" w:leader="none"/>
        </w:tabs>
        <w:ind w:left="0" w:firstLine="709"/>
        <w:jc w:val="both"/>
        <w:rPr>
          <w:bCs/>
        </w:rPr>
      </w:pPr>
      <w:bookmarkStart w:id="36"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6"/>
    </w:p>
    <w:p>
      <w:pPr>
        <w:pStyle w:val="ListParagraph"/>
        <w:numPr>
          <w:ilvl w:val="1"/>
          <w:numId w:val="3"/>
        </w:numPr>
        <w:shd w:val="clear" w:color="auto" w:fill="FFFFFF"/>
        <w:tabs>
          <w:tab w:val="clear" w:pos="709"/>
          <w:tab w:val="left" w:pos="1134" w:leader="none"/>
        </w:tabs>
        <w:ind w:left="0" w:firstLine="709"/>
        <w:jc w:val="both"/>
        <w:rPr>
          <w:bCs/>
        </w:rPr>
      </w:pPr>
      <w:bookmarkStart w:id="37" w:name="_Ref373243071"/>
      <w:r>
        <w:rPr>
          <w:bCs/>
        </w:rPr>
        <w:t>Штраф, предусмотренный пунктом 14.4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14.3 Договора.</w:t>
      </w:r>
      <w:bookmarkEnd w:id="37"/>
    </w:p>
    <w:p>
      <w:pPr>
        <w:pStyle w:val="ListParagraph"/>
        <w:numPr>
          <w:ilvl w:val="1"/>
          <w:numId w:val="3"/>
        </w:numPr>
        <w:shd w:val="clear" w:color="auto" w:fill="FFFFFF"/>
        <w:tabs>
          <w:tab w:val="clear" w:pos="709"/>
          <w:tab w:val="left" w:pos="1134" w:leader="none"/>
        </w:tabs>
        <w:ind w:left="0" w:firstLine="709"/>
        <w:jc w:val="both"/>
        <w:rPr>
          <w:bCs/>
        </w:rPr>
      </w:pPr>
      <w:bookmarkStart w:id="38"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38"/>
    </w:p>
    <w:p>
      <w:pPr>
        <w:pStyle w:val="ListParagraph"/>
        <w:numPr>
          <w:ilvl w:val="1"/>
          <w:numId w:val="3"/>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rPr>
      </w:pPr>
      <w:r>
        <w:rPr>
          <w:bCs/>
        </w:rPr>
      </w:r>
    </w:p>
    <w:p>
      <w:pPr>
        <w:pStyle w:val="ListParagraph"/>
        <w:numPr>
          <w:ilvl w:val="0"/>
          <w:numId w:val="3"/>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9"/>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1"/>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1"/>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1"/>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1"/>
        </w:numPr>
        <w:shd w:val="clear" w:color="auto" w:fill="FFFFFF"/>
        <w:tabs>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rPr>
      </w:pPr>
      <w:r>
        <w:rPr>
          <w:b/>
        </w:rPr>
      </w:r>
    </w:p>
    <w:p>
      <w:pPr>
        <w:pStyle w:val="ListParagraph"/>
        <w:numPr>
          <w:ilvl w:val="0"/>
          <w:numId w:val="3"/>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3"/>
        </w:numPr>
        <w:shd w:val="clear" w:color="auto" w:fill="FFFFFF"/>
        <w:tabs>
          <w:tab w:val="clear" w:pos="709"/>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Результата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9"/>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8"/>
        </w:numPr>
        <w:tabs>
          <w:tab w:val="clear" w:pos="709"/>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pPr>
        <w:pStyle w:val="ListParagraph"/>
        <w:numPr>
          <w:ilvl w:val="0"/>
          <w:numId w:val="8"/>
        </w:numPr>
        <w:tabs>
          <w:tab w:val="clear" w:pos="709"/>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8"/>
        </w:numPr>
        <w:tabs>
          <w:tab w:val="clear" w:pos="709"/>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8"/>
        </w:numPr>
        <w:tabs>
          <w:tab w:val="clear" w:pos="709"/>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8"/>
        </w:numPr>
        <w:tabs>
          <w:tab w:val="clear" w:pos="709"/>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8"/>
        </w:numPr>
        <w:tabs>
          <w:tab w:val="clear" w:pos="709"/>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9"/>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9"/>
        </w:numPr>
        <w:shd w:val="clear" w:color="auto" w:fill="FFFFFF"/>
        <w:tabs>
          <w:tab w:val="clear" w:pos="709"/>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r>
        <w:rPr>
          <w:bCs/>
          <w:highlight w:val="lightGray"/>
        </w:rPr>
        <w:t>;</w:t>
      </w:r>
    </w:p>
    <w:p>
      <w:pPr>
        <w:pStyle w:val="ListParagraph"/>
        <w:numPr>
          <w:ilvl w:val="0"/>
          <w:numId w:val="19"/>
        </w:numPr>
        <w:shd w:val="clear" w:color="auto" w:fill="FFFFFF"/>
        <w:tabs>
          <w:tab w:val="clear" w:pos="709"/>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9"/>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3"/>
        </w:numPr>
        <w:shd w:val="clear" w:color="auto" w:fill="FFFFFF"/>
        <w:tabs>
          <w:tab w:val="clear" w:pos="709"/>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3"/>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tabs>
          <w:tab w:val="clear" w:pos="709"/>
          <w:tab w:val="left" w:pos="1134" w:leader="none"/>
        </w:tabs>
        <w:spacing w:lineRule="auto" w:line="240"/>
        <w:ind w:hanging="0"/>
        <w:rPr/>
      </w:pPr>
      <w:r>
        <w:rPr/>
      </w:r>
    </w:p>
    <w:p>
      <w:pPr>
        <w:pStyle w:val="ListParagraph"/>
        <w:numPr>
          <w:ilvl w:val="0"/>
          <w:numId w:val="3"/>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3"/>
        </w:numPr>
        <w:shd w:val="clear" w:color="auto" w:fill="FFFFFF"/>
        <w:tabs>
          <w:tab w:val="clear" w:pos="709"/>
          <w:tab w:val="left" w:pos="1134" w:leader="none"/>
        </w:tabs>
        <w:ind w:left="0" w:firstLine="709"/>
        <w:jc w:val="both"/>
        <w:rPr/>
      </w:pPr>
      <w:r>
        <w:rPr/>
        <w:t xml:space="preserve">Договор вступает в силу с даты его подписания Сторонами и действует до 31.02.2028г., а в части неисполненных обязательств – до полного исполнения.  </w:t>
      </w:r>
    </w:p>
    <w:p>
      <w:pPr>
        <w:pStyle w:val="Normal"/>
        <w:numPr>
          <w:ilvl w:val="1"/>
          <w:numId w:val="3"/>
        </w:numPr>
        <w:spacing w:lineRule="auto" w:line="240"/>
        <w:ind w:left="0" w:firstLine="710"/>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ListParagraph"/>
        <w:tabs>
          <w:tab w:val="clear" w:pos="709"/>
          <w:tab w:val="left" w:pos="1701" w:leader="none"/>
        </w:tabs>
        <w:ind w:left="0" w:firstLine="709"/>
        <w:jc w:val="both"/>
        <w:rPr/>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t xml:space="preserve"> </w:t>
      </w:r>
    </w:p>
    <w:p>
      <w:pPr>
        <w:pStyle w:val="ListParagraph"/>
        <w:numPr>
          <w:ilvl w:val="1"/>
          <w:numId w:val="3"/>
        </w:numPr>
        <w:shd w:val="clear" w:color="auto" w:fill="FFFFFF"/>
        <w:tabs>
          <w:tab w:val="clear" w:pos="709"/>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3"/>
        </w:numPr>
        <w:shd w:val="clear" w:color="auto" w:fill="FFFFFF"/>
        <w:tabs>
          <w:tab w:val="clear" w:pos="709"/>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9"/>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9"/>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bCs/>
        </w:rPr>
      </w:pPr>
      <w:bookmarkStart w:id="39"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9"/>
      <w:r>
        <w:rPr/>
        <w:t xml:space="preserve"> </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bCs/>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3"/>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3"/>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3"/>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 –17.8.2 Договора. </w:t>
      </w:r>
    </w:p>
    <w:p>
      <w:pPr>
        <w:pStyle w:val="Normal"/>
        <w:numPr>
          <w:ilvl w:val="1"/>
          <w:numId w:val="3"/>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9"/>
          <w:tab w:val="left" w:pos="568" w:leader="none"/>
        </w:tabs>
        <w:ind w:left="0" w:firstLine="709"/>
        <w:jc w:val="both"/>
        <w:rPr/>
      </w:pPr>
      <w: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3"/>
        </w:numPr>
        <w:shd w:val="clear" w:color="auto" w:fill="FFFFFF"/>
        <w:tabs>
          <w:tab w:val="clear" w:pos="709"/>
          <w:tab w:val="left" w:pos="568" w:leader="none"/>
        </w:tabs>
        <w:ind w:left="0" w:firstLine="709"/>
        <w:jc w:val="both"/>
        <w:rPr/>
      </w:pPr>
      <w:r>
        <w:rPr>
          <w:sz w:val="24"/>
          <w:szCs w:val="24"/>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ind w:left="0" w:firstLine="567"/>
        <w:rPr>
          <w:bCs/>
        </w:rPr>
      </w:pPr>
      <w:r>
        <w:rPr>
          <w:bCs/>
        </w:rPr>
      </w:r>
    </w:p>
    <w:p>
      <w:pPr>
        <w:pStyle w:val="ListParagraph"/>
        <w:numPr>
          <w:ilvl w:val="0"/>
          <w:numId w:val="3"/>
        </w:numPr>
        <w:shd w:val="clear" w:color="auto" w:fill="FFFFFF"/>
        <w:tabs>
          <w:tab w:val="clear" w:pos="709"/>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требование;</w:t>
      </w:r>
    </w:p>
    <w:p>
      <w:pPr>
        <w:pStyle w:val="ListParagraph"/>
        <w:shd w:val="clear" w:color="auto" w:fill="FFFFFF"/>
        <w:ind w:left="0" w:hanging="0"/>
        <w:jc w:val="both"/>
        <w:rPr>
          <w:bCs/>
        </w:rPr>
      </w:pPr>
      <w:r>
        <w:rPr>
          <w:bCs/>
        </w:rPr>
        <w:t>Приложение № 2 – Календарный график выполнения Работ;</w:t>
      </w:r>
    </w:p>
    <w:p>
      <w:pPr>
        <w:pStyle w:val="ListParagraph"/>
        <w:shd w:val="clear" w:color="auto" w:fill="FFFFFF"/>
        <w:ind w:left="0" w:hanging="0"/>
        <w:jc w:val="both"/>
        <w:rPr>
          <w:bCs/>
        </w:rPr>
      </w:pPr>
      <w:r>
        <w:rPr>
          <w:bCs/>
        </w:rPr>
        <w:t>Приложение № 3 – Сводный сметный расчет</w:t>
      </w:r>
      <w:r>
        <w:rPr>
          <w:bCs/>
          <w:highlight w:val="lightGray"/>
        </w:rPr>
        <w:t xml:space="preserve"> </w:t>
      </w:r>
      <w:r>
        <w:rPr>
          <w:bCs/>
        </w:rPr>
        <w:t>с приложениями;</w:t>
      </w:r>
    </w:p>
    <w:p>
      <w:pPr>
        <w:pStyle w:val="ListParagraph"/>
        <w:shd w:val="clear" w:color="auto" w:fill="FFFFFF"/>
        <w:ind w:left="0" w:hanging="0"/>
        <w:jc w:val="both"/>
        <w:rPr>
          <w:bCs/>
        </w:rPr>
      </w:pPr>
      <w:r>
        <w:rPr>
          <w:bCs/>
        </w:rPr>
        <w:t>приложение № 4.1 – Форма Акта сдачи-приемки места производства работ;</w:t>
      </w:r>
    </w:p>
    <w:p>
      <w:pPr>
        <w:pStyle w:val="ListParagraph"/>
        <w:shd w:val="clear" w:color="auto" w:fill="FFFFFF"/>
        <w:ind w:left="0" w:hanging="0"/>
        <w:jc w:val="both"/>
        <w:rPr>
          <w:bCs/>
        </w:rPr>
      </w:pPr>
      <w:r>
        <w:rPr>
          <w:bCs/>
        </w:rPr>
        <w:t>приложение № 4.2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hanging="0"/>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7 – Форма Акта освидетельствования выполненных работ;</w:t>
      </w:r>
    </w:p>
    <w:p>
      <w:pPr>
        <w:pStyle w:val="ListParagraph"/>
        <w:shd w:val="clear" w:color="auto" w:fill="FFFFFF"/>
        <w:ind w:left="0" w:hanging="0"/>
        <w:jc w:val="both"/>
        <w:rPr>
          <w:bCs/>
        </w:rPr>
      </w:pPr>
      <w:r>
        <w:rPr>
          <w:bCs/>
        </w:rPr>
      </w:r>
    </w:p>
    <w:p>
      <w:pPr>
        <w:pStyle w:val="ListParagraph"/>
        <w:shd w:val="clear" w:color="auto" w:fill="FFFFFF"/>
        <w:ind w:left="0" w:hanging="0"/>
        <w:jc w:val="both"/>
        <w:rPr>
          <w:bCs/>
        </w:rPr>
      </w:pPr>
      <w:r>
        <w:rPr>
          <w:bCs/>
        </w:rPr>
      </w:r>
    </w:p>
    <w:p>
      <w:pPr>
        <w:pStyle w:val="ListParagraph"/>
        <w:numPr>
          <w:ilvl w:val="0"/>
          <w:numId w:val="3"/>
        </w:numPr>
        <w:shd w:val="clear" w:color="auto" w:fill="FFFFFF"/>
        <w:tabs>
          <w:tab w:val="clear" w:pos="709"/>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9"/>
          <w:tab w:val="left" w:pos="426" w:leader="none"/>
        </w:tabs>
        <w:ind w:left="0" w:hanging="0"/>
        <w:rPr>
          <w:b/>
          <w:bCs/>
        </w:rPr>
      </w:pPr>
      <w:r>
        <w:rPr>
          <w:b/>
          <w:bCs/>
        </w:rPr>
      </w:r>
    </w:p>
    <w:tbl>
      <w:tblPr>
        <w:tblW w:w="9890"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65"/>
        <w:gridCol w:w="163"/>
        <w:gridCol w:w="4622"/>
        <w:gridCol w:w="340"/>
      </w:tblGrid>
      <w:tr>
        <w:trPr/>
        <w:tc>
          <w:tcPr>
            <w:tcW w:w="4928" w:type="dxa"/>
            <w:gridSpan w:val="2"/>
            <w:tcBorders/>
          </w:tcPr>
          <w:p>
            <w:pPr>
              <w:pStyle w:val="Normal"/>
              <w:widowControl w:val="false"/>
              <w:spacing w:lineRule="auto" w:line="240"/>
              <w:ind w:hanging="0"/>
              <w:rPr>
                <w:sz w:val="24"/>
                <w:szCs w:val="24"/>
              </w:rPr>
            </w:pPr>
            <w:r>
              <w:rPr>
                <w:sz w:val="24"/>
                <w:szCs w:val="24"/>
              </w:rPr>
              <w:t>ЗАКАЗЧИК:</w:t>
            </w:r>
          </w:p>
        </w:tc>
        <w:tc>
          <w:tcPr>
            <w:tcW w:w="4962" w:type="dxa"/>
            <w:gridSpan w:val="2"/>
            <w:tcBorders/>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b/>
                <w:sz w:val="24"/>
                <w:szCs w:val="24"/>
              </w:rPr>
            </w:pPr>
            <w:r>
              <w:rPr>
                <w:b/>
                <w:sz w:val="24"/>
                <w:szCs w:val="24"/>
              </w:rPr>
              <w:t>АО «ДГК»</w:t>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Российская Федерация, г. Хабаровск</w:t>
            </w:r>
          </w:p>
          <w:p>
            <w:pPr>
              <w:pStyle w:val="Normal"/>
              <w:widowControl w:val="false"/>
              <w:spacing w:lineRule="auto" w:line="240"/>
              <w:ind w:hanging="0"/>
              <w:jc w:val="left"/>
              <w:rPr>
                <w:sz w:val="24"/>
                <w:szCs w:val="24"/>
              </w:rPr>
            </w:pPr>
            <w:r>
              <w:rPr>
                <w:sz w:val="24"/>
                <w:szCs w:val="24"/>
              </w:rPr>
              <w:t>Адрес: 680000, Хабаровский край,</w:t>
            </w:r>
          </w:p>
          <w:p>
            <w:pPr>
              <w:pStyle w:val="Normal"/>
              <w:widowControl w:val="false"/>
              <w:spacing w:lineRule="auto" w:line="240"/>
              <w:ind w:hanging="0"/>
              <w:jc w:val="left"/>
              <w:rPr>
                <w:sz w:val="24"/>
                <w:szCs w:val="24"/>
              </w:rPr>
            </w:pPr>
            <w:r>
              <w:rPr>
                <w:sz w:val="24"/>
                <w:szCs w:val="24"/>
              </w:rPr>
              <w:t>г. Хабаровск, ул. Фрунзе, д.49</w:t>
            </w:r>
          </w:p>
          <w:p>
            <w:pPr>
              <w:pStyle w:val="Normal"/>
              <w:widowControl w:val="false"/>
              <w:spacing w:lineRule="auto" w:line="240"/>
              <w:ind w:hanging="0"/>
              <w:jc w:val="left"/>
              <w:rPr>
                <w:sz w:val="24"/>
                <w:szCs w:val="24"/>
              </w:rPr>
            </w:pPr>
            <w:r>
              <w:rPr>
                <w:sz w:val="24"/>
                <w:szCs w:val="24"/>
              </w:rPr>
              <w:t>ОГРН 1051401746769,</w:t>
            </w:r>
          </w:p>
          <w:p>
            <w:pPr>
              <w:pStyle w:val="Normal"/>
              <w:widowControl w:val="false"/>
              <w:spacing w:lineRule="auto" w:line="240"/>
              <w:ind w:hanging="0"/>
              <w:jc w:val="left"/>
              <w:rPr>
                <w:sz w:val="24"/>
                <w:szCs w:val="24"/>
                <w:highlight w:val="none"/>
              </w:rPr>
            </w:pPr>
            <w:r>
              <w:rPr>
                <w:sz w:val="24"/>
                <w:szCs w:val="24"/>
              </w:rPr>
              <w:t>ИНН 1434031363 / КПП 272101001</w:t>
            </w:r>
          </w:p>
          <w:p>
            <w:pPr>
              <w:pStyle w:val="Normal"/>
              <w:widowControl w:val="false"/>
              <w:spacing w:lineRule="auto" w:line="240"/>
              <w:ind w:hanging="0"/>
              <w:jc w:val="left"/>
              <w:rPr>
                <w:sz w:val="24"/>
                <w:szCs w:val="24"/>
              </w:rPr>
            </w:pPr>
            <w:r>
              <w:rPr>
                <w:sz w:val="24"/>
                <w:szCs w:val="24"/>
              </w:rPr>
              <w:t>КПП КН 997650001</w:t>
            </w:r>
          </w:p>
          <w:p>
            <w:pPr>
              <w:pStyle w:val="Normal"/>
              <w:widowControl w:val="false"/>
              <w:spacing w:lineRule="auto" w:line="240"/>
              <w:ind w:hanging="0"/>
              <w:jc w:val="left"/>
              <w:rPr>
                <w:u w:val="single"/>
              </w:rPr>
            </w:pPr>
            <w:r>
              <w:rPr>
                <w:sz w:val="24"/>
                <w:szCs w:val="24"/>
                <w:u w:val="single"/>
              </w:rPr>
              <w:t>40702810270000008818</w:t>
            </w:r>
          </w:p>
          <w:p>
            <w:pPr>
              <w:pStyle w:val="Normal"/>
              <w:widowControl w:val="false"/>
              <w:spacing w:lineRule="auto" w:line="240"/>
              <w:ind w:hanging="0"/>
              <w:jc w:val="left"/>
              <w:rPr>
                <w:sz w:val="24"/>
                <w:szCs w:val="24"/>
              </w:rPr>
            </w:pPr>
            <w:r>
              <w:rPr>
                <w:sz w:val="24"/>
                <w:szCs w:val="24"/>
              </w:rPr>
              <w:t>(номер расчетного счета)</w:t>
            </w:r>
          </w:p>
          <w:p>
            <w:pPr>
              <w:pStyle w:val="Normal"/>
              <w:widowControl w:val="false"/>
              <w:spacing w:lineRule="auto" w:line="240"/>
              <w:ind w:hanging="0"/>
              <w:jc w:val="left"/>
              <w:rPr>
                <w:u w:val="single"/>
              </w:rPr>
            </w:pPr>
            <w:r>
              <w:rPr>
                <w:sz w:val="24"/>
                <w:szCs w:val="24"/>
                <w:u w:val="single"/>
              </w:rPr>
              <w:t>Дальневосточный банк ПАО «Сбербанк России» г. Хабаровск</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u w:val="single"/>
              </w:rPr>
            </w:pPr>
            <w:r>
              <w:rPr>
                <w:sz w:val="24"/>
                <w:szCs w:val="24"/>
                <w:u w:val="single"/>
              </w:rPr>
              <w:t>30101810600000000608</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u w:val="single"/>
              </w:rPr>
            </w:pPr>
            <w:r>
              <w:rPr>
                <w:sz w:val="24"/>
                <w:szCs w:val="24"/>
                <w:u w:val="single"/>
              </w:rPr>
              <w:t>040813608</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u w:val="single"/>
              </w:rPr>
            </w:pPr>
            <w:r>
              <w:rPr>
                <w:sz w:val="24"/>
                <w:szCs w:val="24"/>
                <w:u w:val="single"/>
              </w:rPr>
              <w:t>8(42363) 65-359</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u w:val="single"/>
              </w:rPr>
            </w:pPr>
            <w:r>
              <w:rPr>
                <w:sz w:val="24"/>
                <w:szCs w:val="24"/>
                <w:u w:val="single"/>
              </w:rPr>
              <w:t>aho-pgres@dgk.ru</w:t>
            </w:r>
          </w:p>
          <w:p>
            <w:pPr>
              <w:pStyle w:val="Normal"/>
              <w:widowControl w:val="false"/>
              <w:spacing w:lineRule="auto" w:line="240"/>
              <w:ind w:hanging="0"/>
              <w:jc w:val="left"/>
              <w:rPr>
                <w:sz w:val="24"/>
                <w:szCs w:val="24"/>
                <w:highlight w:val="none"/>
              </w:rPr>
            </w:pPr>
            <w:r>
              <w:rPr>
                <w:sz w:val="24"/>
                <w:szCs w:val="24"/>
              </w:rPr>
              <w:t>(адрес эл/почты)</w:t>
            </w:r>
          </w:p>
          <w:p>
            <w:pPr>
              <w:pStyle w:val="Normal"/>
              <w:widowControl w:val="false"/>
              <w:spacing w:lineRule="auto" w:line="240"/>
              <w:ind w:hanging="0"/>
              <w:jc w:val="left"/>
              <w:rPr>
                <w:sz w:val="24"/>
                <w:szCs w:val="24"/>
                <w:highlight w:val="none"/>
              </w:rPr>
            </w:pPr>
            <w:r>
              <w:rPr>
                <w:sz w:val="24"/>
                <w:szCs w:val="24"/>
              </w:rPr>
              <w:t>Адрес для корреспонденции:</w:t>
            </w:r>
          </w:p>
          <w:p>
            <w:pPr>
              <w:pStyle w:val="Normal"/>
              <w:widowControl w:val="false"/>
              <w:spacing w:lineRule="auto" w:line="240"/>
              <w:ind w:hanging="0"/>
              <w:jc w:val="left"/>
              <w:rPr>
                <w:sz w:val="24"/>
                <w:szCs w:val="24"/>
              </w:rPr>
            </w:pPr>
            <w:r>
              <w:rPr>
                <w:sz w:val="24"/>
                <w:szCs w:val="24"/>
              </w:rPr>
              <w:t>(указать адрес СП) г.Партизанск, ул. Свердлова 2</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(сокращенное наименование юр/лица)</w:t>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эл/почты)</w:t>
            </w:r>
          </w:p>
          <w:p>
            <w:pPr>
              <w:pStyle w:val="Normal"/>
              <w:widowControl w:val="false"/>
              <w:spacing w:lineRule="auto" w:line="240"/>
              <w:ind w:hanging="0"/>
              <w:rPr>
                <w:sz w:val="24"/>
                <w:szCs w:val="24"/>
              </w:rPr>
            </w:pPr>
            <w:r>
              <w:rPr>
                <w:sz w:val="24"/>
                <w:szCs w:val="24"/>
              </w:rPr>
            </w:r>
          </w:p>
        </w:tc>
      </w:tr>
      <w:tr>
        <w:trPr/>
        <w:tc>
          <w:tcPr>
            <w:tcW w:w="4765" w:type="dxa"/>
            <w:tcBorders/>
          </w:tcPr>
          <w:p>
            <w:pPr>
              <w:pStyle w:val="Normal"/>
              <w:widowControl w:val="false"/>
              <w:spacing w:lineRule="auto" w:line="240"/>
              <w:ind w:hanging="0"/>
              <w:jc w:val="left"/>
              <w:rPr>
                <w:sz w:val="24"/>
                <w:szCs w:val="24"/>
              </w:rPr>
            </w:pPr>
            <w:r>
              <w:rPr>
                <w:sz w:val="24"/>
                <w:szCs w:val="24"/>
              </w:rPr>
              <w:t>Директор</w:t>
            </w:r>
          </w:p>
          <w:p>
            <w:pPr>
              <w:pStyle w:val="Normal"/>
              <w:widowControl w:val="false"/>
              <w:spacing w:lineRule="auto" w:line="240"/>
              <w:ind w:hanging="0"/>
              <w:jc w:val="left"/>
              <w:rPr>
                <w:sz w:val="24"/>
                <w:szCs w:val="24"/>
              </w:rPr>
            </w:pPr>
            <w:r>
              <w:rPr>
                <w:sz w:val="24"/>
                <w:szCs w:val="24"/>
              </w:rPr>
              <w:t>СП «Партизанская ГРЭС» АО «ДГК»</w:t>
            </w:r>
          </w:p>
          <w:p>
            <w:pPr>
              <w:pStyle w:val="Normal"/>
              <w:widowControl w:val="false"/>
              <w:spacing w:lineRule="auto" w:line="240"/>
              <w:ind w:hanging="0"/>
              <w:jc w:val="left"/>
              <w:rPr>
                <w:sz w:val="24"/>
                <w:szCs w:val="24"/>
                <w:highlight w:val="lightGray"/>
              </w:rPr>
            </w:pPr>
            <w:r>
              <w:rPr>
                <w:sz w:val="24"/>
                <w:szCs w:val="24"/>
                <w:highlight w:val="lightGray"/>
              </w:rPr>
              <w:t>_______________ /Б.В. Краснопеев</w:t>
            </w:r>
          </w:p>
          <w:p>
            <w:pPr>
              <w:pStyle w:val="Normal"/>
              <w:widowControl w:val="false"/>
              <w:spacing w:lineRule="auto" w:line="240"/>
              <w:ind w:hanging="0"/>
              <w:jc w:val="left"/>
              <w:rPr>
                <w:sz w:val="24"/>
                <w:szCs w:val="24"/>
                <w:highlight w:val="lightGray"/>
              </w:rPr>
            </w:pPr>
            <w:r>
              <w:rPr>
                <w:sz w:val="24"/>
                <w:szCs w:val="24"/>
                <w:highlight w:val="lightGray"/>
              </w:rPr>
            </w:r>
          </w:p>
        </w:tc>
        <w:tc>
          <w:tcPr>
            <w:tcW w:w="4785" w:type="dxa"/>
            <w:gridSpan w:val="2"/>
            <w:tcBorders/>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p>
          <w:p>
            <w:pPr>
              <w:pStyle w:val="Normal"/>
              <w:widowControl w:val="false"/>
              <w:spacing w:lineRule="auto" w:line="240"/>
              <w:ind w:hanging="0"/>
              <w:jc w:val="left"/>
              <w:rPr>
                <w:sz w:val="24"/>
                <w:szCs w:val="24"/>
              </w:rPr>
            </w:pPr>
            <w:r>
              <w:rPr>
                <w:sz w:val="24"/>
                <w:szCs w:val="24"/>
              </w:rPr>
            </w:r>
          </w:p>
        </w:tc>
        <w:tc>
          <w:tcPr>
            <w:tcW w:w="340" w:type="dxa"/>
            <w:tcBorders/>
          </w:tcPr>
          <w:p>
            <w:pPr>
              <w:pStyle w:val="Normal"/>
              <w:widowControl w:val="false"/>
              <w:rPr/>
            </w:pPr>
            <w:r>
              <w:rPr/>
            </w:r>
          </w:p>
        </w:tc>
      </w:tr>
    </w:tbl>
    <w:p>
      <w:pPr>
        <w:sectPr>
          <w:headerReference w:type="default" r:id="rId6"/>
          <w:headerReference w:type="first" r:id="rId7"/>
          <w:footerReference w:type="default" r:id="rId8"/>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ТРЕБОВАНИЕ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113" w:type="dxa"/>
        <w:tblLayout w:type="fixed"/>
        <w:tblCellMar>
          <w:top w:w="0" w:type="dxa"/>
          <w:left w:w="108" w:type="dxa"/>
          <w:bottom w:w="0" w:type="dxa"/>
          <w:right w:w="108" w:type="dxa"/>
        </w:tblCellMar>
        <w:tblLook w:val="04a0" w:noHBand="0" w:noVBand="1" w:firstColumn="1" w:lastRow="0" w:lastColumn="0" w:firstRow="1"/>
      </w:tblPr>
      <w:tblGrid>
        <w:gridCol w:w="685"/>
        <w:gridCol w:w="1630"/>
        <w:gridCol w:w="1421"/>
        <w:gridCol w:w="1549"/>
        <w:gridCol w:w="841"/>
        <w:gridCol w:w="1175"/>
        <w:gridCol w:w="774"/>
        <w:gridCol w:w="850"/>
        <w:gridCol w:w="985"/>
      </w:tblGrid>
      <w:tr>
        <w:trPr/>
        <w:tc>
          <w:tcPr>
            <w:tcW w:w="6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3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3"/>
            </w:r>
          </w:p>
        </w:tc>
        <w:tc>
          <w:tcPr>
            <w:tcW w:w="20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6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3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4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40"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Cs/>
          <w:sz w:val="24"/>
          <w:szCs w:val="24"/>
          <w:highlight w:val="lightGray"/>
        </w:rPr>
      </w:pPr>
      <w:r>
        <w:rPr>
          <w:b/>
          <w:sz w:val="24"/>
          <w:szCs w:val="24"/>
        </w:rPr>
        <w:t xml:space="preserve">СВОДНЫЙ СМЕТНЫЙ РАСЧЕТ </w:t>
      </w:r>
      <w:r>
        <w:rPr>
          <w:bCs/>
          <w:sz w:val="24"/>
          <w:szCs w:val="24"/>
          <w:highlight w:val="lightGray"/>
        </w:rPr>
        <w:t xml:space="preserve">/ </w:t>
      </w:r>
    </w:p>
    <w:p>
      <w:pPr>
        <w:pStyle w:val="Normal"/>
        <w:spacing w:lineRule="auto" w:line="240"/>
        <w:ind w:hanging="0"/>
        <w:jc w:val="center"/>
        <w:rPr>
          <w:b/>
          <w:sz w:val="24"/>
          <w:szCs w:val="24"/>
        </w:rPr>
      </w:pPr>
      <w:r>
        <w:rPr>
          <w:b/>
          <w:bCs/>
          <w:sz w:val="24"/>
          <w:szCs w:val="24"/>
          <w:highlight w:val="lightGray"/>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2"/>
          <w:szCs w:val="22"/>
        </w:rPr>
      </w:pPr>
      <w:r>
        <w:rPr>
          <w:sz w:val="22"/>
          <w:szCs w:val="22"/>
        </w:rPr>
        <w:t xml:space="preserve">                                                                                             </w:t>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t xml:space="preserve">                                                                                             </w:t>
      </w: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Акт</w:t>
            </w:r>
          </w:p>
          <w:p>
            <w:pPr>
              <w:pStyle w:val="Title"/>
              <w:widowControl w:val="false"/>
              <w:shd w:val="clear" w:color="auto" w:fill="auto"/>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w:t>
            </w:r>
            <w:r>
              <w:rPr>
                <w:sz w:val="22"/>
                <w:szCs w:val="22"/>
              </w:rPr>
              <w:t>Подрядчику</w:t>
            </w:r>
            <w:r>
              <w:rPr>
                <w:bCs/>
                <w:sz w:val="22"/>
                <w:szCs w:val="22"/>
              </w:rPr>
              <w:t xml:space="preserve"> в установленный Договором срок.</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highlight w:val="lightGray"/>
              </w:rPr>
            </w:pPr>
            <w:r>
              <w:rPr>
                <w:bCs/>
                <w:sz w:val="22"/>
                <w:szCs w:val="22"/>
                <w:highlight w:val="lightGray"/>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Акт</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lightGray"/>
        </w:rPr>
      </w:pPr>
      <w:r>
        <w:rPr>
          <w:sz w:val="22"/>
          <w:szCs w:val="22"/>
          <w:highlight w:val="lightGray"/>
        </w:rPr>
      </w:r>
    </w:p>
    <w:p>
      <w:pPr>
        <w:pStyle w:val="Normal"/>
        <w:spacing w:lineRule="auto" w:line="240"/>
        <w:ind w:left="5103" w:hanging="0"/>
        <w:rPr>
          <w:sz w:val="22"/>
          <w:szCs w:val="22"/>
          <w:highlight w:val="lightGray"/>
        </w:rPr>
      </w:pPr>
      <w:r>
        <w:rPr>
          <w:sz w:val="22"/>
          <w:szCs w:val="22"/>
          <w:highlight w:val="lightGray"/>
        </w:rPr>
      </w:r>
    </w:p>
    <w:p>
      <w:pPr>
        <w:pStyle w:val="Normal"/>
        <w:spacing w:lineRule="auto" w:line="240"/>
        <w:ind w:hanging="0"/>
        <w:jc w:val="right"/>
        <w:rPr/>
      </w:pPr>
      <w:r>
        <w:rPr>
          <w:sz w:val="22"/>
          <w:szCs w:val="22"/>
        </w:rPr>
        <w:t>Приложение № 5</w:t>
      </w:r>
    </w:p>
    <w:p>
      <w:pPr>
        <w:pStyle w:val="Normal"/>
        <w:spacing w:lineRule="auto" w:line="240"/>
        <w:ind w:left="5103" w:hanging="0"/>
        <w:jc w:val="right"/>
        <w:rPr/>
      </w:pPr>
      <w:r>
        <w:rPr>
          <w:sz w:val="22"/>
          <w:szCs w:val="22"/>
        </w:rPr>
        <w:t>к Договору подряда</w:t>
      </w:r>
    </w:p>
    <w:p>
      <w:pPr>
        <w:pStyle w:val="Normal"/>
        <w:spacing w:lineRule="auto" w:line="240"/>
        <w:ind w:left="5103" w:hanging="0"/>
        <w:jc w:val="right"/>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113" w:type="dxa"/>
        <w:tblLayout w:type="fixed"/>
        <w:tblCellMar>
          <w:top w:w="0" w:type="dxa"/>
          <w:left w:w="108" w:type="dxa"/>
          <w:bottom w:w="0" w:type="dxa"/>
          <w:right w:w="108" w:type="dxa"/>
        </w:tblCellMar>
        <w:tblLook w:val="04a0" w:noHBand="0" w:noVBand="1" w:firstColumn="1" w:lastRow="0" w:lastColumn="0" w:firstRow="1"/>
      </w:tblPr>
      <w:tblGrid>
        <w:gridCol w:w="680"/>
        <w:gridCol w:w="2158"/>
        <w:gridCol w:w="1230"/>
        <w:gridCol w:w="1090"/>
        <w:gridCol w:w="939"/>
        <w:gridCol w:w="1280"/>
        <w:gridCol w:w="2259"/>
      </w:tblGrid>
      <w:tr>
        <w:trPr>
          <w:trHeight w:val="214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Номер, дата выдачи,</w:t>
            </w:r>
          </w:p>
          <w:p>
            <w:pPr>
              <w:pStyle w:val="Normal"/>
              <w:widowControl w:val="false"/>
              <w:spacing w:lineRule="auto" w:line="240"/>
              <w:ind w:hanging="0"/>
              <w:jc w:val="center"/>
              <w:rPr>
                <w:bCs/>
                <w:sz w:val="22"/>
                <w:szCs w:val="22"/>
              </w:rPr>
            </w:pPr>
            <w:r>
              <w:rPr>
                <w:bCs/>
                <w:sz w:val="22"/>
                <w:szCs w:val="22"/>
              </w:rPr>
              <w:t>кем выдан</w:t>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Окончание действия разрешительного документа</w:t>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ind w:hanging="0"/>
        <w:rPr>
          <w:sz w:val="22"/>
          <w:szCs w:val="22"/>
        </w:rPr>
      </w:pPr>
      <w:r>
        <w:rPr>
          <w:sz w:val="22"/>
          <w:szCs w:val="22"/>
        </w:rPr>
        <w:t xml:space="preserve">                                                                                           </w:t>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t xml:space="preserve">                                                                                             </w:t>
      </w: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ind w:hanging="0"/>
        <w:jc w:val="center"/>
        <w:rPr>
          <w:b/>
          <w:bCs/>
          <w:sz w:val="24"/>
          <w:szCs w:val="24"/>
        </w:rPr>
      </w:pPr>
      <w:r>
        <w:rPr>
          <w:b/>
          <w:bCs/>
          <w:sz w:val="24"/>
          <w:szCs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tbl>
      <w:tblPr>
        <w:tblW w:w="9251" w:type="dxa"/>
        <w:jc w:val="left"/>
        <w:tblInd w:w="224" w:type="dxa"/>
        <w:tblLayout w:type="fixed"/>
        <w:tblCellMar>
          <w:top w:w="0" w:type="dxa"/>
          <w:left w:w="108" w:type="dxa"/>
          <w:bottom w:w="0" w:type="dxa"/>
          <w:right w:w="108" w:type="dxa"/>
        </w:tblCellMar>
      </w:tblPr>
      <w:tblGrid>
        <w:gridCol w:w="4370"/>
        <w:gridCol w:w="4880"/>
      </w:tblGrid>
      <w:tr>
        <w:trPr/>
        <w:tc>
          <w:tcPr>
            <w:tcW w:w="43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b/>
                <w:sz w:val="24"/>
                <w:szCs w:val="24"/>
              </w:rPr>
              <w:t>Виды нарушений</w:t>
            </w:r>
          </w:p>
        </w:tc>
        <w:tc>
          <w:tcPr>
            <w:tcW w:w="4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b/>
                <w:sz w:val="24"/>
                <w:szCs w:val="24"/>
              </w:rPr>
              <w:t>Штрафные санкции</w:t>
            </w:r>
          </w:p>
        </w:tc>
      </w:tr>
      <w:tr>
        <w:trPr/>
        <w:tc>
          <w:tcPr>
            <w:tcW w:w="9250"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rPr>
              <w:t>1. Нарушение правил пожарной безопасности (ППБ):</w:t>
            </w:r>
          </w:p>
        </w:tc>
      </w:tr>
      <w:tr>
        <w:trPr/>
        <w:tc>
          <w:tcPr>
            <w:tcW w:w="43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1.1. Нарушение ППБ без возникновения пожара</w:t>
            </w:r>
          </w:p>
          <w:p>
            <w:pPr>
              <w:pStyle w:val="Normal"/>
              <w:widowControl w:val="false"/>
              <w:tabs>
                <w:tab w:val="clear" w:pos="709"/>
              </w:tabs>
              <w:spacing w:lineRule="auto" w:line="240" w:before="0" w:after="0"/>
              <w:ind w:left="0" w:right="0" w:hanging="0"/>
              <w:rPr>
                <w:b/>
                <w:sz w:val="24"/>
                <w:szCs w:val="24"/>
              </w:rPr>
            </w:pPr>
            <w:r>
              <w:rPr>
                <w:b/>
                <w:sz w:val="24"/>
                <w:szCs w:val="24"/>
              </w:rPr>
            </w:r>
          </w:p>
        </w:tc>
        <w:tc>
          <w:tcPr>
            <w:tcW w:w="4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25 000 (двадцать пять тысяч) рублей за каждый случай нарушения.</w:t>
            </w:r>
          </w:p>
          <w:p>
            <w:pPr>
              <w:pStyle w:val="Normal"/>
              <w:widowControl w:val="false"/>
              <w:tabs>
                <w:tab w:val="clear" w:pos="709"/>
              </w:tabs>
              <w:spacing w:lineRule="auto" w:line="240"/>
              <w:ind w:left="0" w:right="0" w:hanging="0"/>
              <w:rPr>
                <w:b/>
                <w:color w:val="000000"/>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3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4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50 000 (пятьдесят тысяч) рублей за каждый случай нарушения.</w:t>
            </w:r>
          </w:p>
          <w:p>
            <w:pPr>
              <w:pStyle w:val="Normal"/>
              <w:widowControl w:val="false"/>
              <w:tabs>
                <w:tab w:val="clear" w:pos="709"/>
              </w:tabs>
              <w:spacing w:lineRule="auto" w:line="240"/>
              <w:ind w:left="0" w:right="0" w:hanging="0"/>
              <w:rPr>
                <w:b/>
                <w:color w:val="000000"/>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3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1.3. Нарушение ППБ, ставшее причиной возникновения пожара, причинившего ущерб имуществу Заказчика.</w:t>
            </w:r>
          </w:p>
        </w:tc>
        <w:tc>
          <w:tcPr>
            <w:tcW w:w="4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43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4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50 000 (пятьдесят тысяч) рублей за каждый случай нарушения;</w:t>
            </w:r>
          </w:p>
          <w:p>
            <w:pPr>
              <w:pStyle w:val="Normal"/>
              <w:widowControl w:val="false"/>
              <w:tabs>
                <w:tab w:val="clear" w:pos="709"/>
              </w:tabs>
              <w:spacing w:lineRule="auto" w:line="240"/>
              <w:ind w:left="0" w:right="0" w:hanging="0"/>
              <w:rPr>
                <w:b/>
                <w:color w:val="000000"/>
                <w:sz w:val="24"/>
                <w:szCs w:val="24"/>
              </w:rPr>
            </w:pPr>
            <w:r>
              <w:rPr>
                <w:sz w:val="24"/>
                <w:szCs w:val="24"/>
              </w:rPr>
              <w:t>500 (пятьсот) рублей в случае утраты или приведения в негодность электронного пропуска, выданного Заказчиком.</w:t>
            </w:r>
          </w:p>
          <w:p>
            <w:pPr>
              <w:pStyle w:val="Normal"/>
              <w:widowControl w:val="false"/>
              <w:tabs>
                <w:tab w:val="clear" w:pos="709"/>
              </w:tabs>
              <w:spacing w:lineRule="auto" w:line="240"/>
              <w:ind w:left="0" w:right="0" w:hanging="0"/>
              <w:rPr>
                <w:b/>
                <w:color w:val="000000"/>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9250" w:type="dxa"/>
            <w:gridSpan w:val="2"/>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3. Нарушение  правил охраны труда и пожарной безопасности  при выполнении работ приведшее/приведшие к несчастному случаю:</w:t>
            </w:r>
          </w:p>
        </w:tc>
      </w:tr>
      <w:tr>
        <w:trPr/>
        <w:tc>
          <w:tcPr>
            <w:tcW w:w="437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3.1 При получении тяжкого вреда здоровью</w:t>
            </w:r>
          </w:p>
        </w:tc>
        <w:tc>
          <w:tcPr>
            <w:tcW w:w="488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1 000 000,00 (один миллион) рублей</w:t>
            </w:r>
          </w:p>
        </w:tc>
      </w:tr>
      <w:tr>
        <w:trPr/>
        <w:tc>
          <w:tcPr>
            <w:tcW w:w="437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3.2 При смертельном исходе</w:t>
            </w:r>
          </w:p>
        </w:tc>
        <w:tc>
          <w:tcPr>
            <w:tcW w:w="488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sz w:val="24"/>
                <w:szCs w:val="24"/>
              </w:rPr>
              <w:t>2 000 000,00 (два миллиона) рублей</w:t>
            </w:r>
          </w:p>
          <w:p>
            <w:pPr>
              <w:pStyle w:val="Normal"/>
              <w:widowControl w:val="false"/>
              <w:tabs>
                <w:tab w:val="clear" w:pos="709"/>
              </w:tabs>
              <w:spacing w:lineRule="auto" w:line="240"/>
              <w:ind w:left="0" w:right="0" w:hanging="0"/>
              <w:rPr>
                <w:b/>
                <w:color w:val="000000"/>
                <w:sz w:val="24"/>
                <w:szCs w:val="24"/>
              </w:rPr>
            </w:pPr>
            <w:r>
              <w:rPr>
                <w:b/>
                <w:color w:val="000000"/>
                <w:sz w:val="24"/>
                <w:szCs w:val="24"/>
              </w:rPr>
            </w:r>
          </w:p>
        </w:tc>
      </w:tr>
      <w:tr>
        <w:trPr/>
        <w:tc>
          <w:tcPr>
            <w:tcW w:w="437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b/>
                <w:bCs/>
                <w:sz w:val="24"/>
                <w:szCs w:val="24"/>
              </w:rPr>
              <w:t>Заказчик:</w:t>
            </w:r>
          </w:p>
          <w:p>
            <w:pPr>
              <w:pStyle w:val="Normal"/>
              <w:widowControl w:val="false"/>
              <w:tabs>
                <w:tab w:val="clear" w:pos="709"/>
              </w:tabs>
              <w:spacing w:lineRule="auto" w:line="240"/>
              <w:ind w:left="0" w:right="0" w:hanging="0"/>
              <w:rPr>
                <w:b/>
                <w:bCs/>
              </w:rPr>
            </w:pPr>
            <w:r>
              <w:rPr>
                <w:b/>
                <w:bCs/>
              </w:rPr>
            </w:r>
          </w:p>
          <w:p>
            <w:pPr>
              <w:pStyle w:val="Normal"/>
              <w:widowControl w:val="false"/>
              <w:tabs>
                <w:tab w:val="clear" w:pos="709"/>
              </w:tabs>
              <w:spacing w:lineRule="auto" w:line="240"/>
              <w:ind w:left="0" w:right="0" w:hanging="0"/>
              <w:rPr>
                <w:b/>
                <w:bCs/>
              </w:rPr>
            </w:pPr>
            <w:r>
              <w:rPr>
                <w:b/>
                <w:bCs/>
              </w:rPr>
            </w:r>
          </w:p>
          <w:p>
            <w:pPr>
              <w:pStyle w:val="Normal"/>
              <w:widowControl w:val="false"/>
              <w:tabs>
                <w:tab w:val="clear" w:pos="709"/>
              </w:tabs>
              <w:spacing w:lineRule="auto" w:line="240"/>
              <w:ind w:left="0" w:right="0" w:hanging="0"/>
              <w:rPr>
                <w:b/>
                <w:color w:val="000000"/>
                <w:sz w:val="24"/>
                <w:szCs w:val="24"/>
              </w:rPr>
            </w:pPr>
            <w:r>
              <w:rPr>
                <w:b/>
                <w:bCs/>
                <w:sz w:val="24"/>
                <w:szCs w:val="24"/>
              </w:rPr>
              <w:t>_______________ / _______________</w:t>
            </w:r>
          </w:p>
        </w:tc>
        <w:tc>
          <w:tcPr>
            <w:tcW w:w="4880" w:type="dxa"/>
            <w:tcBorders>
              <w:left w:val="single" w:sz="4" w:space="0" w:color="000000"/>
              <w:bottom w:val="single" w:sz="4" w:space="0" w:color="000000"/>
              <w:right w:val="single" w:sz="4" w:space="0" w:color="000000"/>
            </w:tcBorders>
          </w:tcPr>
          <w:p>
            <w:pPr>
              <w:pStyle w:val="Normal"/>
              <w:widowControl w:val="false"/>
              <w:tabs>
                <w:tab w:val="clear" w:pos="709"/>
              </w:tabs>
              <w:spacing w:lineRule="auto" w:line="240"/>
              <w:ind w:left="0" w:right="0" w:hanging="0"/>
              <w:rPr>
                <w:b/>
                <w:color w:val="000000"/>
                <w:sz w:val="24"/>
                <w:szCs w:val="24"/>
              </w:rPr>
            </w:pPr>
            <w:r>
              <w:rPr>
                <w:b/>
                <w:bCs/>
                <w:sz w:val="24"/>
                <w:szCs w:val="24"/>
              </w:rPr>
              <w:t>Подрядчик:</w:t>
            </w:r>
          </w:p>
          <w:p>
            <w:pPr>
              <w:pStyle w:val="Normal"/>
              <w:widowControl w:val="false"/>
              <w:tabs>
                <w:tab w:val="clear" w:pos="709"/>
              </w:tabs>
              <w:spacing w:lineRule="auto" w:line="240"/>
              <w:ind w:left="0" w:right="0" w:hanging="0"/>
              <w:rPr>
                <w:b/>
                <w:bCs/>
              </w:rPr>
            </w:pPr>
            <w:r>
              <w:rPr>
                <w:b/>
                <w:bCs/>
              </w:rPr>
            </w:r>
          </w:p>
          <w:p>
            <w:pPr>
              <w:pStyle w:val="Normal"/>
              <w:widowControl w:val="false"/>
              <w:tabs>
                <w:tab w:val="clear" w:pos="709"/>
              </w:tabs>
              <w:spacing w:lineRule="auto" w:line="240"/>
              <w:ind w:left="0" w:right="0" w:hanging="0"/>
              <w:rPr>
                <w:b/>
                <w:bCs/>
              </w:rPr>
            </w:pPr>
            <w:r>
              <w:rPr>
                <w:b/>
                <w:bCs/>
              </w:rPr>
            </w:r>
          </w:p>
          <w:p>
            <w:pPr>
              <w:pStyle w:val="Normal"/>
              <w:widowControl w:val="false"/>
              <w:tabs>
                <w:tab w:val="clear" w:pos="709"/>
              </w:tabs>
              <w:spacing w:lineRule="auto" w:line="240"/>
              <w:ind w:left="0" w:right="0" w:hanging="0"/>
              <w:rPr>
                <w:b/>
                <w:color w:val="000000"/>
                <w:sz w:val="24"/>
                <w:szCs w:val="24"/>
              </w:rPr>
            </w:pPr>
            <w:r>
              <w:rPr>
                <w:b/>
                <w:bCs/>
                <w:sz w:val="24"/>
                <w:szCs w:val="24"/>
              </w:rPr>
              <w:t>_______________ / _______________</w:t>
            </w:r>
          </w:p>
        </w:tc>
      </w:tr>
    </w:tbl>
    <w:p>
      <w:pPr>
        <w:pStyle w:val="Normal"/>
        <w:spacing w:before="0" w:after="0"/>
        <w:ind w:hanging="0"/>
        <w:rPr>
          <w:b/>
          <w:color w:val="000000"/>
          <w:sz w:val="24"/>
          <w:szCs w:val="24"/>
        </w:rPr>
      </w:pPr>
      <w:r>
        <w:rPr>
          <w:b/>
          <w:color w:val="000000"/>
          <w:sz w:val="24"/>
          <w:szCs w:val="24"/>
        </w:rPr>
      </w:r>
    </w:p>
    <w:tbl>
      <w:tblPr>
        <w:tblpPr w:vertAnchor="text" w:horzAnchor="margin" w:tblpXSpec="center" w:leftFromText="180" w:rightFromText="180" w:tblpY="-1122"/>
        <w:tblW w:w="16645"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21"/>
        <w:gridCol w:w="839"/>
        <w:gridCol w:w="223"/>
        <w:gridCol w:w="221"/>
        <w:gridCol w:w="786"/>
        <w:gridCol w:w="524"/>
        <w:gridCol w:w="223"/>
        <w:gridCol w:w="992"/>
        <w:gridCol w:w="1081"/>
        <w:gridCol w:w="223"/>
        <w:gridCol w:w="955"/>
        <w:gridCol w:w="892"/>
        <w:gridCol w:w="227"/>
        <w:gridCol w:w="239"/>
        <w:gridCol w:w="599"/>
        <w:gridCol w:w="769"/>
        <w:gridCol w:w="362"/>
        <w:gridCol w:w="243"/>
        <w:gridCol w:w="1321"/>
        <w:gridCol w:w="272"/>
        <w:gridCol w:w="514"/>
        <w:gridCol w:w="281"/>
        <w:gridCol w:w="493"/>
        <w:gridCol w:w="599"/>
        <w:gridCol w:w="218"/>
        <w:gridCol w:w="223"/>
        <w:gridCol w:w="230"/>
        <w:gridCol w:w="235"/>
        <w:gridCol w:w="1303"/>
        <w:gridCol w:w="221"/>
        <w:gridCol w:w="583"/>
        <w:gridCol w:w="444"/>
        <w:gridCol w:w="81"/>
      </w:tblGrid>
      <w:tr>
        <w:trPr>
          <w:trHeight w:val="1082" w:hRule="atLeast"/>
        </w:trPr>
        <w:tc>
          <w:tcPr>
            <w:tcW w:w="221" w:type="dxa"/>
            <w:tcBorders/>
            <w:shd w:color="auto" w:fill="auto" w:val="clear"/>
            <w:vAlign w:val="bottom"/>
          </w:tcPr>
          <w:p>
            <w:pPr>
              <w:pStyle w:val="Normal"/>
              <w:pageBreakBefore/>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09"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Приложение №7</w:t>
            </w:r>
          </w:p>
        </w:tc>
        <w:tc>
          <w:tcPr>
            <w:tcW w:w="22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57"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8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13"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23"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0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329"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Заказчик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956"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ОКПО</w:t>
            </w:r>
          </w:p>
        </w:tc>
        <w:tc>
          <w:tcPr>
            <w:tcW w:w="1329"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3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6"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733"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35"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3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733"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303"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ОКПО</w:t>
            </w:r>
          </w:p>
        </w:tc>
        <w:tc>
          <w:tcPr>
            <w:tcW w:w="1329"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35"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9"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9"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248"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329"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70"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27"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01"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деятельности по ОКДП</w:t>
            </w:r>
          </w:p>
        </w:tc>
        <w:tc>
          <w:tcPr>
            <w:tcW w:w="1329"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01"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329"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65"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303"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номер</w:t>
            </w:r>
          </w:p>
        </w:tc>
        <w:tc>
          <w:tcPr>
            <w:tcW w:w="1329"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дата</w:t>
            </w:r>
          </w:p>
        </w:tc>
        <w:tc>
          <w:tcPr>
            <w:tcW w:w="1329"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91"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329"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13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7"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712"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522"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83"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7"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712"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33"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89"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83"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t>АКТ</w:t>
            </w:r>
          </w:p>
        </w:tc>
        <w:tc>
          <w:tcPr>
            <w:tcW w:w="227"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r>
          </w:p>
        </w:tc>
        <w:tc>
          <w:tcPr>
            <w:tcW w:w="1607"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712"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33"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989"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911" w:type="dxa"/>
            <w:gridSpan w:val="11"/>
            <w:tcBorders/>
            <w:shd w:color="auto" w:fill="auto" w:val="clear"/>
            <w:vAlign w:val="bottom"/>
          </w:tcPr>
          <w:p>
            <w:pPr>
              <w:pStyle w:val="Normal"/>
              <w:widowControl w:val="false"/>
              <w:spacing w:lineRule="auto" w:line="240"/>
              <w:ind w:hanging="0"/>
              <w:jc w:val="center"/>
              <w:rPr>
                <w:b/>
                <w:bCs/>
                <w:sz w:val="22"/>
                <w:szCs w:val="22"/>
              </w:rPr>
            </w:pPr>
            <w:r>
              <w:rPr>
                <w:b/>
                <w:bCs/>
                <w:sz w:val="22"/>
                <w:szCs w:val="22"/>
              </w:rPr>
              <w:t>ОСВИДЕТЕЛЬСТВОВАНИЯ ВЫПОЛНЕННЫХ РАБОТ</w:t>
            </w:r>
          </w:p>
        </w:tc>
        <w:tc>
          <w:tcPr>
            <w:tcW w:w="272" w:type="dxa"/>
            <w:tcBorders/>
            <w:shd w:color="auto" w:fill="auto" w:val="clear"/>
            <w:vAlign w:val="bottom"/>
          </w:tcPr>
          <w:p>
            <w:pPr>
              <w:pStyle w:val="Normal"/>
              <w:widowControl w:val="false"/>
              <w:spacing w:lineRule="auto" w:line="240"/>
              <w:ind w:hanging="0"/>
              <w:jc w:val="center"/>
              <w:rPr>
                <w:b/>
                <w:bCs/>
                <w:sz w:val="22"/>
                <w:szCs w:val="22"/>
              </w:rPr>
            </w:pPr>
            <w:r>
              <w:rPr>
                <w:b/>
                <w:bCs/>
                <w:sz w:val="22"/>
                <w:szCs w:val="22"/>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959"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Сметная (договорная) стоимость в соответствии с договором подряда</w:t>
            </w:r>
          </w:p>
        </w:tc>
        <w:tc>
          <w:tcPr>
            <w:tcW w:w="227"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83"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4"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9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55"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9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6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356"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8"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98"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425"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r>
            <w:r>
              <w:rPr>
                <w:sz w:val="20"/>
                <w:szCs w:val="20"/>
              </w:rPr>
              <w:br w:type="textWrapping" w:clear="all"/>
            </w:r>
            <w:r>
              <w:rPr>
                <w:sz w:val="20"/>
                <w:szCs w:val="20"/>
              </w:rPr>
              <w:t>поряд-</w:t>
              <w:br/>
              <w:t>ку</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356"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68"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98"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356"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8"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9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7"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0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9"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2"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7"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0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329"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2"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7"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0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329"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Заказчика</w:t>
            </w:r>
          </w:p>
        </w:tc>
        <w:tc>
          <w:tcPr>
            <w:tcW w:w="2820"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47"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30"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0"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7"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30"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Подрядчика</w:t>
            </w:r>
          </w:p>
        </w:tc>
        <w:tc>
          <w:tcPr>
            <w:tcW w:w="2820"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47"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2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30"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0"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7"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30"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20"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47"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30"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15"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1"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6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before="0" w:after="0"/>
        <w:ind w:hanging="0"/>
        <w:rPr>
          <w:highlight w:val="yellow"/>
        </w:rPr>
      </w:pPr>
      <w:r>
        <w:rPr>
          <w:highlight w:val="yellow"/>
        </w:rPr>
      </w:r>
      <w:bookmarkStart w:id="40" w:name="RANGE!A1%2525252525252525252525252525252"/>
      <w:bookmarkStart w:id="41" w:name="RANGE!A1%2525252525252525252525252525252"/>
      <w:bookmarkStart w:id="42" w:name="RANGE!A1%2525252525252525252525252525252"/>
      <w:bookmarkStart w:id="43" w:name="RANGE!A1%2525252525252525252525252525252"/>
      <w:bookmarkEnd w:id="42"/>
      <w:bookmarkEnd w:id="43"/>
      <w:r>
        <w:br w:type="page"/>
      </w:r>
    </w:p>
    <w:tbl>
      <w:tblPr>
        <w:tblW w:w="13433" w:type="dxa"/>
        <w:jc w:val="left"/>
        <w:tblInd w:w="108" w:type="dxa"/>
        <w:tblLayout w:type="fixed"/>
        <w:tblCellMar>
          <w:top w:w="0" w:type="dxa"/>
          <w:left w:w="108" w:type="dxa"/>
          <w:bottom w:w="0" w:type="dxa"/>
          <w:right w:w="108" w:type="dxa"/>
        </w:tblCellMar>
        <w:tblLook w:val="0000" w:noHBand="0" w:noVBand="0" w:firstColumn="0" w:lastRow="0" w:lastColumn="0" w:firstRow="0"/>
      </w:tblPr>
      <w:tblGrid>
        <w:gridCol w:w="8646"/>
        <w:gridCol w:w="4786"/>
      </w:tblGrid>
      <w:tr>
        <w:trPr/>
        <w:tc>
          <w:tcPr>
            <w:tcW w:w="8646" w:type="dxa"/>
            <w:tcBorders/>
          </w:tcPr>
          <w:p>
            <w:pPr>
              <w:pStyle w:val="Normal"/>
              <w:pageBreakBefore/>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pStyle w:val="Normal"/>
        <w:spacing w:lineRule="auto" w:line="240"/>
        <w:ind w:left="5103" w:hanging="0"/>
        <w:rPr>
          <w:sz w:val="22"/>
          <w:szCs w:val="22"/>
        </w:rPr>
      </w:pPr>
      <w:r>
        <w:rPr/>
      </w:r>
    </w:p>
    <w:sectPr>
      <w:headerReference w:type="default" r:id="rId13"/>
      <w:headerReference w:type="first" r:id="rId14"/>
      <w:footerReference w:type="default" r:id="rId15"/>
      <w:footerReference w:type="first" r:id="rId16"/>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12</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31</w:t>
    </w:r>
    <w:r>
      <w:rPr>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38</w:t>
    </w:r>
    <w:r>
      <w:rPr>
        <w:sz w:val="24"/>
        <w:szCs w:val="24"/>
      </w:rPr>
      <w:fldChar w:fldCharType="end"/>
    </w:r>
  </w:p>
  <w:p>
    <w:pPr>
      <w:pStyle w:val="Footer"/>
      <w:rPr/>
    </w:pPr>
    <w:r>
      <w:rPr/>
    </w:r>
  </w:p>
  <w:p>
    <w:pPr>
      <w:pStyle w:val="Footer"/>
      <w:rPr/>
    </w:pPr>
    <w:r>
      <w:rPr/>
    </w:r>
  </w:p>
  <w:p>
    <w:pPr>
      <w:pStyle w:val="Footer"/>
      <w:rPr/>
    </w:pPr>
    <w:r>
      <w:rPr/>
    </w:r>
  </w:p>
  <w:p>
    <w:pPr>
      <w:pStyle w:val="Footer"/>
      <w:rPr/>
    </w:pPr>
    <w:r>
      <w:rPr/>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
        </w:rPr>
        <w:footnoteRef/>
      </w:r>
      <w:r>
        <w:rPr/>
        <w:t xml:space="preserve"> </w:t>
      </w:r>
      <w:r>
        <w:rPr/>
        <w:t xml:space="preserve">Затраты на временные здания и сооружения, а также непредвиденные работы и затраты, не включаются в стоимость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2 к Договору) справочно за рамками Работ.</w:t>
      </w:r>
    </w:p>
  </w:footnote>
  <w:footnote w:id="3">
    <w:p>
      <w:pPr>
        <w:pStyle w:val="FootnoteText"/>
        <w:rPr/>
      </w:pPr>
      <w:r>
        <w:rPr>
          <w:rStyle w:val="Style"/>
        </w:rPr>
        <w:footnoteRef/>
      </w:r>
      <w:r>
        <w:rPr/>
        <w:t xml:space="preserve"> </w:t>
      </w:r>
      <w:r>
        <w:rPr/>
        <w:t xml:space="preserve">Наименование Объекта, в отношении которого выполняются Работы.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u w:val="none"/>
        <w:b w:val="false"/>
      </w:rPr>
    </w:lvl>
    <w:lvl w:ilvl="2">
      <w:start w:val="1"/>
      <w:numFmt w:val="decimal"/>
      <w:lvlText w:val="%1.%2.%3."/>
      <w:lvlJc w:val="left"/>
      <w:pPr>
        <w:tabs>
          <w:tab w:val="num" w:pos="0"/>
        </w:tabs>
        <w:ind w:left="3907" w:hanging="504"/>
      </w:pPr>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2924" w:hanging="360"/>
      </w:pPr>
      <w:rPr>
        <w:rFonts w:ascii="Symbol" w:hAnsi="Symbol" w:cs="Symbol" w:hint="default"/>
      </w:rPr>
    </w:lvl>
    <w:lvl w:ilvl="1">
      <w:start w:val="1"/>
      <w:numFmt w:val="bullet"/>
      <w:lvlText w:val="o"/>
      <w:lvlJc w:val="left"/>
      <w:pPr>
        <w:tabs>
          <w:tab w:val="num" w:pos="0"/>
        </w:tabs>
        <w:ind w:left="3644" w:hanging="360"/>
      </w:pPr>
      <w:rPr>
        <w:rFonts w:ascii="Courier New" w:hAnsi="Courier New" w:cs="Courier New" w:hint="default"/>
      </w:rPr>
    </w:lvl>
    <w:lvl w:ilvl="2">
      <w:start w:val="1"/>
      <w:numFmt w:val="bullet"/>
      <w:lvlText w:val=""/>
      <w:lvlJc w:val="left"/>
      <w:pPr>
        <w:tabs>
          <w:tab w:val="num" w:pos="0"/>
        </w:tabs>
        <w:ind w:left="4364" w:hanging="360"/>
      </w:pPr>
      <w:rPr>
        <w:rFonts w:ascii="Wingdings" w:hAnsi="Wingdings" w:cs="Wingdings" w:hint="default"/>
      </w:rPr>
    </w:lvl>
    <w:lvl w:ilvl="3">
      <w:start w:val="1"/>
      <w:numFmt w:val="bullet"/>
      <w:lvlText w:val=""/>
      <w:lvlJc w:val="left"/>
      <w:pPr>
        <w:tabs>
          <w:tab w:val="num" w:pos="0"/>
        </w:tabs>
        <w:ind w:left="5084" w:hanging="360"/>
      </w:pPr>
      <w:rPr>
        <w:rFonts w:ascii="Symbol" w:hAnsi="Symbol" w:cs="Symbol" w:hint="default"/>
      </w:rPr>
    </w:lvl>
    <w:lvl w:ilvl="4">
      <w:start w:val="1"/>
      <w:numFmt w:val="bullet"/>
      <w:lvlText w:val="o"/>
      <w:lvlJc w:val="left"/>
      <w:pPr>
        <w:tabs>
          <w:tab w:val="num" w:pos="0"/>
        </w:tabs>
        <w:ind w:left="5804" w:hanging="360"/>
      </w:pPr>
      <w:rPr>
        <w:rFonts w:ascii="Courier New" w:hAnsi="Courier New" w:cs="Courier New" w:hint="default"/>
      </w:rPr>
    </w:lvl>
    <w:lvl w:ilvl="5">
      <w:start w:val="1"/>
      <w:numFmt w:val="bullet"/>
      <w:lvlText w:val=""/>
      <w:lvlJc w:val="left"/>
      <w:pPr>
        <w:tabs>
          <w:tab w:val="num" w:pos="0"/>
        </w:tabs>
        <w:ind w:left="6524" w:hanging="360"/>
      </w:pPr>
      <w:rPr>
        <w:rFonts w:ascii="Wingdings" w:hAnsi="Wingdings" w:cs="Wingdings" w:hint="default"/>
      </w:rPr>
    </w:lvl>
    <w:lvl w:ilvl="6">
      <w:start w:val="1"/>
      <w:numFmt w:val="bullet"/>
      <w:lvlText w:val=""/>
      <w:lvlJc w:val="left"/>
      <w:pPr>
        <w:tabs>
          <w:tab w:val="num" w:pos="0"/>
        </w:tabs>
        <w:ind w:left="7244" w:hanging="360"/>
      </w:pPr>
      <w:rPr>
        <w:rFonts w:ascii="Symbol" w:hAnsi="Symbol" w:cs="Symbol" w:hint="default"/>
      </w:rPr>
    </w:lvl>
    <w:lvl w:ilvl="7">
      <w:start w:val="1"/>
      <w:numFmt w:val="bullet"/>
      <w:lvlText w:val="o"/>
      <w:lvlJc w:val="left"/>
      <w:pPr>
        <w:tabs>
          <w:tab w:val="num" w:pos="0"/>
        </w:tabs>
        <w:ind w:left="7964" w:hanging="360"/>
      </w:pPr>
      <w:rPr>
        <w:rFonts w:ascii="Courier New" w:hAnsi="Courier New" w:cs="Courier New" w:hint="default"/>
      </w:rPr>
    </w:lvl>
    <w:lvl w:ilvl="8">
      <w:start w:val="1"/>
      <w:numFmt w:val="bullet"/>
      <w:lvlText w:val=""/>
      <w:lvlJc w:val="left"/>
      <w:pPr>
        <w:tabs>
          <w:tab w:val="num" w:pos="0"/>
        </w:tabs>
        <w:ind w:left="8684" w:hanging="360"/>
      </w:pPr>
      <w:rPr>
        <w:rFonts w:ascii="Wingdings" w:hAnsi="Wingdings" w:cs="Wingdings" w:hint="default"/>
      </w:rPr>
    </w:lvl>
  </w:abstractNum>
  <w:abstractNum w:abstractNumId="22">
    <w:lvl w:ilvl="0">
      <w:start w:val="1"/>
      <w:numFmt w:val="bullet"/>
      <w:lvlText w:val=""/>
      <w:lvlJc w:val="left"/>
      <w:pPr>
        <w:tabs>
          <w:tab w:val="num" w:pos="0"/>
        </w:tabs>
        <w:ind w:left="2924" w:hanging="360"/>
      </w:pPr>
      <w:rPr>
        <w:rFonts w:ascii="Symbol" w:hAnsi="Symbol" w:cs="Symbol" w:hint="default"/>
      </w:rPr>
    </w:lvl>
    <w:lvl w:ilvl="1">
      <w:start w:val="1"/>
      <w:numFmt w:val="bullet"/>
      <w:lvlText w:val="o"/>
      <w:lvlJc w:val="left"/>
      <w:pPr>
        <w:tabs>
          <w:tab w:val="num" w:pos="0"/>
        </w:tabs>
        <w:ind w:left="3644" w:hanging="360"/>
      </w:pPr>
      <w:rPr>
        <w:rFonts w:ascii="Courier New" w:hAnsi="Courier New" w:cs="Courier New" w:hint="default"/>
      </w:rPr>
    </w:lvl>
    <w:lvl w:ilvl="2">
      <w:start w:val="1"/>
      <w:numFmt w:val="bullet"/>
      <w:lvlText w:val=""/>
      <w:lvlJc w:val="left"/>
      <w:pPr>
        <w:tabs>
          <w:tab w:val="num" w:pos="0"/>
        </w:tabs>
        <w:ind w:left="4364" w:hanging="360"/>
      </w:pPr>
      <w:rPr>
        <w:rFonts w:ascii="Wingdings" w:hAnsi="Wingdings" w:cs="Wingdings" w:hint="default"/>
      </w:rPr>
    </w:lvl>
    <w:lvl w:ilvl="3">
      <w:start w:val="1"/>
      <w:numFmt w:val="bullet"/>
      <w:lvlText w:val=""/>
      <w:lvlJc w:val="left"/>
      <w:pPr>
        <w:tabs>
          <w:tab w:val="num" w:pos="0"/>
        </w:tabs>
        <w:ind w:left="5084" w:hanging="360"/>
      </w:pPr>
      <w:rPr>
        <w:rFonts w:ascii="Symbol" w:hAnsi="Symbol" w:cs="Symbol" w:hint="default"/>
      </w:rPr>
    </w:lvl>
    <w:lvl w:ilvl="4">
      <w:start w:val="1"/>
      <w:numFmt w:val="bullet"/>
      <w:lvlText w:val="o"/>
      <w:lvlJc w:val="left"/>
      <w:pPr>
        <w:tabs>
          <w:tab w:val="num" w:pos="0"/>
        </w:tabs>
        <w:ind w:left="5804" w:hanging="360"/>
      </w:pPr>
      <w:rPr>
        <w:rFonts w:ascii="Courier New" w:hAnsi="Courier New" w:cs="Courier New" w:hint="default"/>
      </w:rPr>
    </w:lvl>
    <w:lvl w:ilvl="5">
      <w:start w:val="1"/>
      <w:numFmt w:val="bullet"/>
      <w:lvlText w:val=""/>
      <w:lvlJc w:val="left"/>
      <w:pPr>
        <w:tabs>
          <w:tab w:val="num" w:pos="0"/>
        </w:tabs>
        <w:ind w:left="6524" w:hanging="360"/>
      </w:pPr>
      <w:rPr>
        <w:rFonts w:ascii="Wingdings" w:hAnsi="Wingdings" w:cs="Wingdings" w:hint="default"/>
      </w:rPr>
    </w:lvl>
    <w:lvl w:ilvl="6">
      <w:start w:val="1"/>
      <w:numFmt w:val="bullet"/>
      <w:lvlText w:val=""/>
      <w:lvlJc w:val="left"/>
      <w:pPr>
        <w:tabs>
          <w:tab w:val="num" w:pos="0"/>
        </w:tabs>
        <w:ind w:left="7244" w:hanging="360"/>
      </w:pPr>
      <w:rPr>
        <w:rFonts w:ascii="Symbol" w:hAnsi="Symbol" w:cs="Symbol" w:hint="default"/>
      </w:rPr>
    </w:lvl>
    <w:lvl w:ilvl="7">
      <w:start w:val="1"/>
      <w:numFmt w:val="bullet"/>
      <w:lvlText w:val="o"/>
      <w:lvlJc w:val="left"/>
      <w:pPr>
        <w:tabs>
          <w:tab w:val="num" w:pos="0"/>
        </w:tabs>
        <w:ind w:left="7964" w:hanging="360"/>
      </w:pPr>
      <w:rPr>
        <w:rFonts w:ascii="Courier New" w:hAnsi="Courier New" w:cs="Courier New" w:hint="default"/>
      </w:rPr>
    </w:lvl>
    <w:lvl w:ilvl="8">
      <w:start w:val="1"/>
      <w:numFmt w:val="bullet"/>
      <w:lvlText w:val=""/>
      <w:lvlJc w:val="left"/>
      <w:pPr>
        <w:tabs>
          <w:tab w:val="num" w:pos="0"/>
        </w:tabs>
        <w:ind w:left="8684" w:hanging="360"/>
      </w:pPr>
      <w:rPr>
        <w:rFonts w:ascii="Wingdings" w:hAnsi="Wingdings" w:cs="Wingdings" w:hint="default"/>
      </w:rPr>
    </w:lvl>
  </w:abstractNum>
  <w:abstractNum w:abstractNumId="23">
    <w:lvl w:ilvl="0">
      <w:start w:val="1"/>
      <w:numFmt w:val="bullet"/>
      <w:lvlText w:val=""/>
      <w:lvlJc w:val="left"/>
      <w:pPr>
        <w:tabs>
          <w:tab w:val="num" w:pos="0"/>
        </w:tabs>
        <w:ind w:left="2924" w:hanging="360"/>
      </w:pPr>
      <w:rPr>
        <w:rFonts w:ascii="Symbol" w:hAnsi="Symbol" w:cs="Symbol" w:hint="default"/>
      </w:rPr>
    </w:lvl>
    <w:lvl w:ilvl="1">
      <w:start w:val="1"/>
      <w:numFmt w:val="bullet"/>
      <w:lvlText w:val="o"/>
      <w:lvlJc w:val="left"/>
      <w:pPr>
        <w:tabs>
          <w:tab w:val="num" w:pos="0"/>
        </w:tabs>
        <w:ind w:left="3644" w:hanging="360"/>
      </w:pPr>
      <w:rPr>
        <w:rFonts w:ascii="Courier New" w:hAnsi="Courier New" w:cs="Courier New" w:hint="default"/>
      </w:rPr>
    </w:lvl>
    <w:lvl w:ilvl="2">
      <w:start w:val="1"/>
      <w:numFmt w:val="bullet"/>
      <w:lvlText w:val=""/>
      <w:lvlJc w:val="left"/>
      <w:pPr>
        <w:tabs>
          <w:tab w:val="num" w:pos="0"/>
        </w:tabs>
        <w:ind w:left="4364" w:hanging="360"/>
      </w:pPr>
      <w:rPr>
        <w:rFonts w:ascii="Wingdings" w:hAnsi="Wingdings" w:cs="Wingdings" w:hint="default"/>
      </w:rPr>
    </w:lvl>
    <w:lvl w:ilvl="3">
      <w:start w:val="1"/>
      <w:numFmt w:val="bullet"/>
      <w:lvlText w:val=""/>
      <w:lvlJc w:val="left"/>
      <w:pPr>
        <w:tabs>
          <w:tab w:val="num" w:pos="0"/>
        </w:tabs>
        <w:ind w:left="5084" w:hanging="360"/>
      </w:pPr>
      <w:rPr>
        <w:rFonts w:ascii="Symbol" w:hAnsi="Symbol" w:cs="Symbol" w:hint="default"/>
      </w:rPr>
    </w:lvl>
    <w:lvl w:ilvl="4">
      <w:start w:val="1"/>
      <w:numFmt w:val="bullet"/>
      <w:lvlText w:val="o"/>
      <w:lvlJc w:val="left"/>
      <w:pPr>
        <w:tabs>
          <w:tab w:val="num" w:pos="0"/>
        </w:tabs>
        <w:ind w:left="5804" w:hanging="360"/>
      </w:pPr>
      <w:rPr>
        <w:rFonts w:ascii="Courier New" w:hAnsi="Courier New" w:cs="Courier New" w:hint="default"/>
      </w:rPr>
    </w:lvl>
    <w:lvl w:ilvl="5">
      <w:start w:val="1"/>
      <w:numFmt w:val="bullet"/>
      <w:lvlText w:val=""/>
      <w:lvlJc w:val="left"/>
      <w:pPr>
        <w:tabs>
          <w:tab w:val="num" w:pos="0"/>
        </w:tabs>
        <w:ind w:left="6524" w:hanging="360"/>
      </w:pPr>
      <w:rPr>
        <w:rFonts w:ascii="Wingdings" w:hAnsi="Wingdings" w:cs="Wingdings" w:hint="default"/>
      </w:rPr>
    </w:lvl>
    <w:lvl w:ilvl="6">
      <w:start w:val="1"/>
      <w:numFmt w:val="bullet"/>
      <w:lvlText w:val=""/>
      <w:lvlJc w:val="left"/>
      <w:pPr>
        <w:tabs>
          <w:tab w:val="num" w:pos="0"/>
        </w:tabs>
        <w:ind w:left="7244" w:hanging="360"/>
      </w:pPr>
      <w:rPr>
        <w:rFonts w:ascii="Symbol" w:hAnsi="Symbol" w:cs="Symbol" w:hint="default"/>
      </w:rPr>
    </w:lvl>
    <w:lvl w:ilvl="7">
      <w:start w:val="1"/>
      <w:numFmt w:val="bullet"/>
      <w:lvlText w:val="o"/>
      <w:lvlJc w:val="left"/>
      <w:pPr>
        <w:tabs>
          <w:tab w:val="num" w:pos="0"/>
        </w:tabs>
        <w:ind w:left="7964" w:hanging="360"/>
      </w:pPr>
      <w:rPr>
        <w:rFonts w:ascii="Courier New" w:hAnsi="Courier New" w:cs="Courier New" w:hint="default"/>
      </w:rPr>
    </w:lvl>
    <w:lvl w:ilvl="8">
      <w:start w:val="1"/>
      <w:numFmt w:val="bullet"/>
      <w:lvlText w:val=""/>
      <w:lvlJc w:val="left"/>
      <w:pPr>
        <w:tabs>
          <w:tab w:val="num" w:pos="0"/>
        </w:tabs>
        <w:ind w:left="8684" w:hanging="360"/>
      </w:pPr>
      <w:rPr>
        <w:rFonts w:ascii="Wingdings" w:hAnsi="Wingdings" w:cs="Wingdings" w:hint="default"/>
      </w:rPr>
    </w:lvl>
  </w:abstractNum>
  <w:abstractNum w:abstractNumId="24">
    <w:lvl w:ilvl="0">
      <w:start w:val="1"/>
      <w:numFmt w:val="bullet"/>
      <w:lvlText w:val=""/>
      <w:lvlJc w:val="left"/>
      <w:pPr>
        <w:tabs>
          <w:tab w:val="num" w:pos="0"/>
        </w:tabs>
        <w:ind w:left="1862" w:hanging="360"/>
      </w:pPr>
      <w:rPr>
        <w:rFonts w:ascii="Symbol" w:hAnsi="Symbol" w:cs="Symbol" w:hint="default"/>
      </w:rPr>
    </w:lvl>
    <w:lvl w:ilvl="1">
      <w:start w:val="1"/>
      <w:numFmt w:val="bullet"/>
      <w:lvlText w:val="o"/>
      <w:lvlJc w:val="left"/>
      <w:pPr>
        <w:tabs>
          <w:tab w:val="num" w:pos="0"/>
        </w:tabs>
        <w:ind w:left="2582" w:hanging="360"/>
      </w:pPr>
      <w:rPr>
        <w:rFonts w:ascii="Courier New" w:hAnsi="Courier New" w:cs="Courier New" w:hint="default"/>
      </w:rPr>
    </w:lvl>
    <w:lvl w:ilvl="2">
      <w:start w:val="1"/>
      <w:numFmt w:val="bullet"/>
      <w:lvlText w:val=""/>
      <w:lvlJc w:val="left"/>
      <w:pPr>
        <w:tabs>
          <w:tab w:val="num" w:pos="0"/>
        </w:tabs>
        <w:ind w:left="3302" w:hanging="360"/>
      </w:pPr>
      <w:rPr>
        <w:rFonts w:ascii="Wingdings" w:hAnsi="Wingdings" w:cs="Wingdings" w:hint="default"/>
      </w:rPr>
    </w:lvl>
    <w:lvl w:ilvl="3">
      <w:start w:val="1"/>
      <w:numFmt w:val="bullet"/>
      <w:lvlText w:val=""/>
      <w:lvlJc w:val="left"/>
      <w:pPr>
        <w:tabs>
          <w:tab w:val="num" w:pos="0"/>
        </w:tabs>
        <w:ind w:left="4022" w:hanging="360"/>
      </w:pPr>
      <w:rPr>
        <w:rFonts w:ascii="Symbol" w:hAnsi="Symbol" w:cs="Symbol" w:hint="default"/>
      </w:rPr>
    </w:lvl>
    <w:lvl w:ilvl="4">
      <w:start w:val="1"/>
      <w:numFmt w:val="bullet"/>
      <w:lvlText w:val="o"/>
      <w:lvlJc w:val="left"/>
      <w:pPr>
        <w:tabs>
          <w:tab w:val="num" w:pos="0"/>
        </w:tabs>
        <w:ind w:left="4742" w:hanging="360"/>
      </w:pPr>
      <w:rPr>
        <w:rFonts w:ascii="Courier New" w:hAnsi="Courier New" w:cs="Courier New" w:hint="default"/>
      </w:rPr>
    </w:lvl>
    <w:lvl w:ilvl="5">
      <w:start w:val="1"/>
      <w:numFmt w:val="bullet"/>
      <w:lvlText w:val=""/>
      <w:lvlJc w:val="left"/>
      <w:pPr>
        <w:tabs>
          <w:tab w:val="num" w:pos="0"/>
        </w:tabs>
        <w:ind w:left="5462" w:hanging="360"/>
      </w:pPr>
      <w:rPr>
        <w:rFonts w:ascii="Wingdings" w:hAnsi="Wingdings" w:cs="Wingdings" w:hint="default"/>
      </w:rPr>
    </w:lvl>
    <w:lvl w:ilvl="6">
      <w:start w:val="1"/>
      <w:numFmt w:val="bullet"/>
      <w:lvlText w:val=""/>
      <w:lvlJc w:val="left"/>
      <w:pPr>
        <w:tabs>
          <w:tab w:val="num" w:pos="0"/>
        </w:tabs>
        <w:ind w:left="6182" w:hanging="360"/>
      </w:pPr>
      <w:rPr>
        <w:rFonts w:ascii="Symbol" w:hAnsi="Symbol" w:cs="Symbol" w:hint="default"/>
      </w:rPr>
    </w:lvl>
    <w:lvl w:ilvl="7">
      <w:start w:val="1"/>
      <w:numFmt w:val="bullet"/>
      <w:lvlText w:val="o"/>
      <w:lvlJc w:val="left"/>
      <w:pPr>
        <w:tabs>
          <w:tab w:val="num" w:pos="0"/>
        </w:tabs>
        <w:ind w:left="6902" w:hanging="360"/>
      </w:pPr>
      <w:rPr>
        <w:rFonts w:ascii="Courier New" w:hAnsi="Courier New" w:cs="Courier New" w:hint="default"/>
      </w:rPr>
    </w:lvl>
    <w:lvl w:ilvl="8">
      <w:start w:val="1"/>
      <w:numFmt w:val="bullet"/>
      <w:lvlText w:val=""/>
      <w:lvlJc w:val="left"/>
      <w:pPr>
        <w:tabs>
          <w:tab w:val="num" w:pos="0"/>
        </w:tabs>
        <w:ind w:left="7622" w:hanging="360"/>
      </w:pPr>
      <w:rPr>
        <w:rFonts w:ascii="Wingdings" w:hAnsi="Wingdings" w:cs="Wingdings" w:hint="default"/>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4"/>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qFormat/>
    <w:pPr>
      <w:keepNext w:val="true"/>
      <w:spacing w:before="240" w:after="60"/>
      <w:outlineLvl w:val="0"/>
    </w:pPr>
    <w:rPr>
      <w:rFonts w:ascii="Cambria" w:hAnsi="Cambria"/>
      <w:b/>
      <w:bCs/>
      <w:sz w:val="32"/>
      <w:szCs w:val="32"/>
    </w:rPr>
  </w:style>
  <w:style w:type="paragraph" w:styleId="Heading2">
    <w:name w:val="Heading 2"/>
    <w:basedOn w:val="Normal"/>
    <w:qFormat/>
    <w:pPr>
      <w:keepNext w:val="true"/>
      <w:spacing w:before="240" w:after="60"/>
      <w:outlineLvl w:val="1"/>
    </w:pPr>
    <w:rPr>
      <w:rFonts w:ascii="Cambria" w:hAnsi="Cambria"/>
      <w:b/>
      <w:bCs/>
      <w:i/>
      <w:iCs/>
    </w:rPr>
  </w:style>
  <w:style w:type="paragraph" w:styleId="Heading3">
    <w:name w:val="Heading 3"/>
    <w:basedOn w:val="Normal"/>
    <w:uiPriority w:val="9"/>
    <w:qFormat/>
    <w:pPr>
      <w:keepNext w:val="true"/>
      <w:spacing w:lineRule="auto" w:line="240" w:before="120" w:after="120"/>
      <w:ind w:hanging="0"/>
      <w:jc w:val="left"/>
      <w:outlineLvl w:val="2"/>
    </w:pPr>
    <w:rPr>
      <w:b/>
      <w:szCs w:val="2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qFormat/>
    <w:rPr>
      <w:b/>
      <w:bCs/>
      <w:sz w:val="24"/>
      <w:szCs w:val="24"/>
    </w:rPr>
  </w:style>
  <w:style w:type="character" w:styleId="Style1" w:customStyle="1">
    <w:name w:val="Текст выноски Знак"/>
    <w:qFormat/>
    <w:rPr>
      <w:rFonts w:ascii="Tahoma" w:hAnsi="Tahoma" w:cs="Tahoma"/>
      <w:sz w:val="16"/>
      <w:szCs w:val="16"/>
    </w:rPr>
  </w:style>
  <w:style w:type="character" w:styleId="1" w:customStyle="1">
    <w:name w:val="1. Статья Знак"/>
    <w:qFormat/>
    <w:rPr>
      <w:sz w:val="24"/>
      <w:szCs w:val="24"/>
    </w:rPr>
  </w:style>
  <w:style w:type="character" w:styleId="4" w:customStyle="1">
    <w:name w:val="4. Отчерк Знак"/>
    <w:qFormat/>
    <w:rPr>
      <w:sz w:val="24"/>
      <w:szCs w:val="24"/>
    </w:rPr>
  </w:style>
  <w:style w:type="character" w:styleId="Annotationreference">
    <w:name w:val="annotation reference"/>
    <w:qFormat/>
    <w:rPr>
      <w:sz w:val="16"/>
      <w:szCs w:val="16"/>
    </w:rPr>
  </w:style>
  <w:style w:type="character" w:styleId="Style2" w:customStyle="1">
    <w:name w:val="Текст примечания Знак"/>
    <w:qFormat/>
    <w:rPr/>
  </w:style>
  <w:style w:type="character" w:styleId="Style3" w:customStyle="1">
    <w:name w:val="Тема примечания Знак"/>
    <w:uiPriority w:val="99"/>
    <w:qFormat/>
    <w:rPr>
      <w:b/>
      <w:bCs/>
    </w:rPr>
  </w:style>
  <w:style w:type="character" w:styleId="Style4" w:customStyle="1">
    <w:name w:val="Нижний колонтитул Знак"/>
    <w:uiPriority w:val="99"/>
    <w:qFormat/>
    <w:rPr>
      <w:sz w:val="28"/>
      <w:szCs w:val="28"/>
    </w:rPr>
  </w:style>
  <w:style w:type="character" w:styleId="32" w:customStyle="1">
    <w:name w:val="Основной текст 3 Знак"/>
    <w:qFormat/>
    <w:rPr>
      <w:color w:val="0000FF"/>
      <w:sz w:val="24"/>
      <w:szCs w:val="24"/>
      <w:lang w:eastAsia="en-US"/>
    </w:rPr>
  </w:style>
  <w:style w:type="character" w:styleId="Style5"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 w:customStyle="1">
    <w:name w:val="Заголовок 2 Знак"/>
    <w:semiHidden/>
    <w:qFormat/>
    <w:rPr>
      <w:rFonts w:ascii="Cambria" w:hAnsi="Cambria" w:eastAsia="Times New Roman" w:cs="Times New Roman"/>
      <w:b/>
      <w:bCs/>
      <w:i/>
      <w:iCs/>
      <w:sz w:val="28"/>
      <w:szCs w:val="28"/>
    </w:rPr>
  </w:style>
  <w:style w:type="character" w:styleId="Style6"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7" w:customStyle="1">
    <w:name w:val="Текст сноски Знак"/>
    <w:qFormat/>
    <w:rPr/>
  </w:style>
  <w:style w:type="character" w:styleId="Hyperlink">
    <w:name w:val="Hyperlink"/>
    <w:uiPriority w:val="99"/>
    <w:unhideWhenUsed/>
    <w:rPr>
      <w:color w:val="0000FF"/>
      <w:u w:val="single"/>
    </w:rPr>
  </w:style>
  <w:style w:type="character" w:styleId="Style8" w:customStyle="1">
    <w:name w:val="Текст концевой сноски Знак"/>
    <w:uiPriority w:val="99"/>
    <w:semiHidden/>
    <w:qFormat/>
    <w:rPr/>
  </w:style>
  <w:style w:type="character" w:styleId="Style9">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0" w:customStyle="1">
    <w:name w:val="Верхний колонтитул Знак"/>
    <w:basedOn w:val="DefaultParagraphFont"/>
    <w:uiPriority w:val="99"/>
    <w:qFormat/>
    <w:rPr>
      <w:sz w:val="28"/>
      <w:szCs w:val="28"/>
    </w:rPr>
  </w:style>
  <w:style w:type="character" w:styleId="Style11" w:customStyle="1">
    <w:name w:val="Текст Знак"/>
    <w:basedOn w:val="DefaultParagraphFont"/>
    <w:uiPriority w:val="99"/>
    <w:semiHidden/>
    <w:qFormat/>
    <w:rPr>
      <w:rFonts w:ascii="Calibri" w:hAnsi="Calibri" w:eastAsia="Calibri" w:cs="Arial" w:cstheme="minorBidi" w:eastAsiaTheme="minorHAnsi"/>
      <w:sz w:val="22"/>
      <w:szCs w:val="21"/>
      <w:lang w:eastAsia="en-US"/>
    </w:rPr>
  </w:style>
  <w:style w:type="character" w:styleId="Style12" w:customStyle="1">
    <w:name w:val="Абзац списка Знак"/>
    <w:uiPriority w:val="34"/>
    <w:qFormat/>
    <w:rPr>
      <w:sz w:val="24"/>
      <w:szCs w:val="24"/>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qFormat/>
    <w:pPr>
      <w:widowControl w:val="false"/>
      <w:spacing w:lineRule="auto" w:line="240" w:before="120" w:after="120"/>
      <w:ind w:hanging="0"/>
    </w:pPr>
    <w:rPr>
      <w:b/>
      <w:bCs/>
      <w:sz w:val="24"/>
      <w:szCs w:val="24"/>
    </w:rPr>
  </w:style>
  <w:style w:type="paragraph" w:styleId="Style15">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4"/>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6">
    <w:name w:val="Колонтитул"/>
    <w:basedOn w:val="Normal"/>
    <w:qFormat/>
    <w:pPr/>
    <w:rPr/>
  </w:style>
  <w:style w:type="paragraph" w:styleId="Header">
    <w:name w:val="Header"/>
    <w:basedOn w:val="Normal"/>
    <w:uiPriority w:val="99"/>
    <w:pPr>
      <w:tabs>
        <w:tab w:val="clear" w:pos="709"/>
        <w:tab w:val="center" w:pos="4677" w:leader="none"/>
        <w:tab w:val="right" w:pos="9355" w:leader="none"/>
      </w:tabs>
    </w:pPr>
    <w:rPr/>
  </w:style>
  <w:style w:type="paragraph" w:styleId="Style17"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pPr>
      <w:spacing w:lineRule="auto" w:line="240"/>
      <w:ind w:hanging="0"/>
      <w:jc w:val="left"/>
    </w:pPr>
    <w:rPr>
      <w:sz w:val="20"/>
      <w:szCs w:val="20"/>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spacing w:lineRule="auto" w:line="240"/>
      <w:ind w:hanging="0"/>
    </w:pPr>
    <w:rPr>
      <w:rFonts w:ascii="Arial" w:hAnsi="Arial"/>
      <w:sz w:val="20"/>
      <w:szCs w:val="20"/>
    </w:rPr>
  </w:style>
  <w:style w:type="paragraph" w:styleId="Style22" w:customStyle="1">
    <w:name w:val="Подпункт договора"/>
    <w:basedOn w:val="Normal"/>
    <w:qFormat/>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numPr>
        <w:ilvl w:val="0"/>
        <w:numId w:val="1"/>
      </w:numPr>
      <w:tabs>
        <w:tab w:val="clear" w:pos="709"/>
        <w:tab w:val="left" w:pos="2340" w:leader="none"/>
      </w:tabs>
      <w:spacing w:before="0" w:after="0"/>
      <w:ind w:right="1462" w:hanging="0"/>
      <w:jc w:val="center"/>
    </w:pPr>
    <w:rPr>
      <w:b w:val="false"/>
      <w:sz w:val="24"/>
      <w:szCs w:val="24"/>
    </w:rPr>
  </w:style>
  <w:style w:type="paragraph" w:styleId="22"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qFormat/>
    <w:pPr>
      <w:keepNext w:val="false"/>
      <w:widowControl w:val="false"/>
      <w:numPr>
        <w:ilvl w:val="2"/>
        <w:numId w:val="1"/>
      </w:numPr>
      <w:tabs>
        <w:tab w:val="clear" w:pos="709"/>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1" w:customStyle="1">
    <w:name w:val="4. Отчерк"/>
    <w:basedOn w:val="Normal"/>
    <w:qFormat/>
    <w:pPr>
      <w:widowControl w:val="false"/>
      <w:numPr>
        <w:ilvl w:val="0"/>
        <w:numId w:val="2"/>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uiPriority w:val="99"/>
    <w:qFormat/>
    <w:pPr/>
    <w:rPr>
      <w:b/>
      <w:bCs/>
    </w:rPr>
  </w:style>
  <w:style w:type="paragraph" w:styleId="Footer">
    <w:name w:val="Footer"/>
    <w:basedOn w:val="Normal"/>
    <w:uiPriority w:val="99"/>
    <w:pPr>
      <w:tabs>
        <w:tab w:val="clear" w:pos="709"/>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9"/>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9"/>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uiPriority w:val="99"/>
    <w:semiHidden/>
    <w:unhideWhenUsed/>
    <w:pPr/>
    <w:rPr>
      <w:sz w:val="20"/>
      <w:szCs w:val="20"/>
    </w:rPr>
  </w:style>
  <w:style w:type="paragraph" w:styleId="PlainText">
    <w:name w:val="Plain Text"/>
    <w:basedOn w:val="Normal"/>
    <w:uiPriority w:val="99"/>
    <w:semiHidden/>
    <w:unhideWhenUsed/>
    <w:qFormat/>
    <w:pPr>
      <w:spacing w:lineRule="auto" w:line="240"/>
      <w:ind w:hanging="0"/>
      <w:jc w:val="left"/>
    </w:pPr>
    <w:rPr>
      <w:rFonts w:ascii="Calibri" w:hAnsi="Calibri" w:eastAsia="Calibri" w:cs="Arial" w:cstheme="minorBidi" w:eastAsiaTheme="minorHAnsi"/>
      <w:sz w:val="22"/>
      <w:szCs w:val="21"/>
      <w:lang w:eastAsia="en-US"/>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paragraph" w:styleId="Style25">
    <w:name w:val="Содержимое врезки"/>
    <w:basedOn w:val="Normal"/>
    <w:qFormat/>
    <w:pPr/>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Relationship Id="rId26"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2268F8-CD4E-4501-A11A-D05927819D85}">
  <ds:schemaRefs>
    <ds:schemaRef ds:uri="http://schemas.openxmlformats.org/officeDocument/2006/bibliography"/>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91B9E41-DCCF-48D8-A6A3-3AF809CB52BE}">
  <ds:schemaRefs>
    <ds:schemaRef ds:uri="http://schemas.openxmlformats.org/officeDocument/2006/bibliography"/>
  </ds:schemaRefs>
</ds:datastoreItem>
</file>

<file path=customXml/itemProps5.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Application>AlterOffice/2025.3.1.0$Linux_X86_64 LibreOffice_project/431cd1b79110582f53535c95ed0a2449aadc8bf9</Application>
  <AppVersion>15.0000</AppVersion>
  <DocSecurity>4</DocSecurity>
  <Pages>38</Pages>
  <Words>12871</Words>
  <Characters>92708</Characters>
  <CharactersWithSpaces>105389</CharactersWithSpaces>
  <Paragraphs>651</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2025-03-10T04:02:00Z</dcterms:created>
  <dc:creator>UK VoHEC</dc:creator>
  <dc:description/>
  <dc:language>ru-RU</dc:language>
  <cp:lastModifiedBy>erdyneeva_ag@DGK.RU</cp:lastModifiedBy>
  <dcterms:modified xsi:type="dcterms:W3CDTF">2026-05-13T13:01:42Z</dcterms:modified>
  <cp:revision>155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